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30 : Image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des pixels (4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des pixels (8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des pixels (16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points de grille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ligne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colonne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d'image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Combinaison avec d'autres données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cellules le long des lignes radiales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d'azimuts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B92: Afin qu’il soit possible de distinguer sans ambiguïté les cas de valeurs manquantes et de pixels saturés, les données d’image de n bits doivent être codées à l’aide d’un champs de données de n+1. Lorsqu’un tel descripteur n’est pas déjà disponible dans la classe 30, on utilise un descripteur d’opération 2 01 YYY pour modifier le champ de données de l’entrée existante, selon les besoins.</w:t>
      </w:r>
    </w:p>
    <w:p>
      <w:r>
        <w:rPr>
          <w:rFonts w:ascii="Verdana" w:hAnsi="Verdana"/>
          <w:i/>
          <w:sz w:val="14"/>
        </w:rPr>
        <w:t>Note B115: Le champ de données des pixels peut être modifié au moyen du descripteur 2 01 YYY.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