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16 : Séquences correspondant à des caractéristiques synoptiques</w:t>
      </w:r>
    </w:p>
    <w:p>
      <w:r>
        <w:rPr>
          <w:rFonts w:ascii="Verdana" w:hAnsi="Verdana"/>
          <w:b/>
          <w:sz w:val="18"/>
        </w:rPr>
        <w:t>3 16 001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0 01 021</w:t>
            </w:r>
          </w:p>
        </w:tc>
        <w:tc>
          <w:tcPr>
            <w:tcW w:type="dxa" w:w="3784"/>
          </w:tcPr>
          <w:p>
            <w:pPr>
              <w:spacing w:before="20" w:after="20"/>
            </w:pPr>
            <w:r/>
            <w:r>
              <w:rPr>
                <w:rFonts w:ascii="Verdana" w:hAnsi="Verdana"/>
                <w:b w:val="0"/>
                <w:sz w:val="16"/>
              </w:rPr>
              <w:t>Indicateur d'identification de la caractéristique synoptique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Méthode d'estimation utilisée pour les comptes rendus relatifs aux caractéristiques synoptiques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Type de la caractéristique synoptique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0 19 002</w:t>
            </w:r>
          </w:p>
        </w:tc>
        <w:tc>
          <w:tcPr>
            <w:tcW w:type="dxa" w:w="3784"/>
          </w:tcPr>
          <w:p>
            <w:pPr>
              <w:spacing w:before="20" w:after="20"/>
            </w:pPr>
            <w:r/>
            <w:r>
              <w:rPr>
                <w:rFonts w:ascii="Verdana" w:hAnsi="Verdana"/>
                <w:b w:val="0"/>
                <w:sz w:val="16"/>
              </w:rPr>
              <w:t>Rayon réel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Seuil de la vitesse du vent</w:t>
            </w:r>
          </w:p>
        </w:tc>
        <w:tc>
          <w:tcPr>
            <w:tcW w:type="dxa" w:w="3784"/>
          </w:tcPr>
          <w:p>
            <w:pPr>
              <w:spacing w:before="20" w:after="20"/>
            </w:pPr>
            <w:r/>
            <w:r>
              <w:rPr>
                <w:rFonts w:ascii="Verdana" w:hAnsi="Verdana"/>
                <w:b w:val="0"/>
                <w:sz w:val="16"/>
              </w:rPr>
              <w:t>Généralement 15 m s-1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Rayon réel pour les vitesses du vent supérieures au seuil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16 002 (En-tête)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Heure d'analyse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Période de validité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t>Niveau de vol (base de 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t>Niveau de vol (sommet de la couche)</w:t>
            </w:r>
          </w:p>
        </w:tc>
        <w:tc>
          <w:tcPr>
            <w:tcW w:type="dxa" w:w="3784"/>
          </w:tcPr>
          <w:p>
            <w:pPr>
              <w:spacing w:before="20" w:after="20"/>
            </w:pPr>
            <w:r/>
            <w:r>
              <w:rPr>
                <w:rFonts w:ascii="Verdana" w:hAnsi="Verdana"/>
                <w:b w:val="0"/>
                <w:sz w:val="16"/>
              </w:rPr>
            </w:r>
          </w:p>
        </w:tc>
      </w:tr>
    </w:tbl>
    <w:p/>
    <w:p>
      <w:r>
        <w:rPr>
          <w:rFonts w:ascii="Verdana" w:hAnsi="Verdana"/>
          <w:b/>
          <w:sz w:val="18"/>
        </w:rPr>
        <w:t>3 16 003 (Courant-jet)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Répétition différée de 10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Valeur pour courant-jet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Valeur pour ligne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Annuler | Fin d'objet</w:t>
            </w:r>
          </w:p>
        </w:tc>
        <w:tc>
          <w:tcPr>
            <w:tcW w:type="dxa" w:w="3784"/>
          </w:tcPr>
          <w:p>
            <w:pPr>
              <w:spacing w:before="20" w:after="20"/>
            </w:pPr>
            <w:r/>
            <w:r>
              <w:rPr>
                <w:rFonts w:ascii="Verdana" w:hAnsi="Verdana"/>
                <w:b w:val="0"/>
                <w:sz w:val="16"/>
              </w:rPr>
            </w:r>
          </w:p>
        </w:tc>
      </w:tr>
    </w:tbl>
    <w:p/>
    <w:p>
      <w:r>
        <w:rPr>
          <w:rFonts w:ascii="Verdana" w:hAnsi="Verdana"/>
          <w:b/>
          <w:sz w:val="18"/>
        </w:rPr>
        <w:t>3 16 004 (Turbulence)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Répétition différée de 11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Valeur pour turbulence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Valeur pour 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t>Niveau de vol (base de 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t>Niveau de vol (sommet de 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Degré de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D20: En atmosphère claire ou dans les nuages: coder MOD OCNL SEV par le chiffre 12 ou 13, respectivement.</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Annuler | Fin d'objet</w:t>
            </w:r>
          </w:p>
        </w:tc>
        <w:tc>
          <w:tcPr>
            <w:tcW w:type="dxa" w:w="3784"/>
          </w:tcPr>
          <w:p>
            <w:pPr>
              <w:spacing w:before="20" w:after="20"/>
            </w:pPr>
            <w:r/>
            <w:r>
              <w:rPr>
                <w:rFonts w:ascii="Verdana" w:hAnsi="Verdana"/>
                <w:b w:val="0"/>
                <w:sz w:val="16"/>
              </w:rPr>
            </w:r>
          </w:p>
        </w:tc>
      </w:tr>
    </w:tbl>
    <w:p/>
    <w:p>
      <w:r>
        <w:rPr>
          <w:rFonts w:ascii="Verdana" w:hAnsi="Verdana"/>
          <w:b/>
          <w:sz w:val="18"/>
        </w:rPr>
        <w:t>3 16 005 (Tempête)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Répétition différée de 8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Signification de la caractéristique météorologique</w:t>
            </w:r>
          </w:p>
        </w:tc>
        <w:tc>
          <w:tcPr>
            <w:tcW w:type="dxa" w:w="3784"/>
          </w:tcPr>
          <w:p>
            <w:pPr>
              <w:spacing w:before="20" w:after="20"/>
            </w:pPr>
            <w:r/>
            <w:r>
              <w:rPr>
                <w:rFonts w:ascii="Verdana" w:hAnsi="Verdana"/>
                <w:b w:val="0"/>
                <w:sz w:val="16"/>
              </w:rPr>
              <w:t>Centre de la tempête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Valeur pour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0 01 026</w:t>
            </w:r>
          </w:p>
        </w:tc>
        <w:tc>
          <w:tcPr>
            <w:tcW w:type="dxa" w:w="3784"/>
          </w:tcPr>
          <w:p>
            <w:pPr>
              <w:spacing w:before="20" w:after="20"/>
            </w:pPr>
            <w:r/>
            <w:r>
              <w:rPr>
                <w:rFonts w:ascii="Verdana" w:hAnsi="Verdana"/>
                <w:b w:val="0"/>
                <w:sz w:val="16"/>
              </w:rPr>
              <w:t>Nom OMM de la tempête</w:t>
            </w:r>
          </w:p>
        </w:tc>
        <w:tc>
          <w:tcPr>
            <w:tcW w:type="dxa" w:w="3784"/>
          </w:tcPr>
          <w:p>
            <w:pPr>
              <w:spacing w:before="20" w:after="20"/>
            </w:pPr>
            <w:r/>
            <w:r>
              <w:rPr>
                <w:rFonts w:ascii="Verdana" w:hAnsi="Verdana"/>
                <w:b w:val="0"/>
                <w:sz w:val="16"/>
              </w:rPr>
              <w:t>Utiliser "UNKNOWN" pour une tempête de sable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Type de la caractéristique synoptique</w:t>
            </w:r>
          </w:p>
        </w:tc>
        <w:tc>
          <w:tcPr>
            <w:tcW w:type="dxa" w:w="3784"/>
          </w:tcPr>
          <w:p>
            <w:pPr>
              <w:spacing w:before="20" w:after="20"/>
            </w:pPr>
            <w:r/>
            <w:r>
              <w:rPr>
                <w:rFonts w:ascii="Verdana" w:hAnsi="Verdana"/>
                <w:b w:val="0"/>
                <w:sz w:val="16"/>
              </w:rPr>
              <w:t>Valeur pour type de tempête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Signification de la caractéristique météorologique</w:t>
            </w:r>
          </w:p>
        </w:tc>
        <w:tc>
          <w:tcPr>
            <w:tcW w:type="dxa" w:w="3784"/>
          </w:tcPr>
          <w:p>
            <w:pPr>
              <w:spacing w:before="20" w:after="20"/>
            </w:pPr>
            <w:r/>
            <w:r>
              <w:rPr>
                <w:rFonts w:ascii="Verdana" w:hAnsi="Verdana"/>
                <w:b w:val="0"/>
                <w:sz w:val="16"/>
              </w:rPr>
              <w:t>Annuler | Fin d'objet</w:t>
            </w:r>
          </w:p>
        </w:tc>
        <w:tc>
          <w:tcPr>
            <w:tcW w:type="dxa" w:w="3784"/>
          </w:tcPr>
          <w:p>
            <w:pPr>
              <w:spacing w:before="20" w:after="20"/>
            </w:pPr>
            <w:r/>
            <w:r>
              <w:rPr>
                <w:rFonts w:ascii="Verdana" w:hAnsi="Verdana"/>
                <w:b w:val="0"/>
                <w:sz w:val="16"/>
              </w:rPr>
            </w:r>
          </w:p>
        </w:tc>
      </w:tr>
    </w:tbl>
    <w:p/>
    <w:p>
      <w:r>
        <w:rPr>
          <w:rFonts w:ascii="Verdana" w:hAnsi="Verdana"/>
          <w:b/>
          <w:sz w:val="18"/>
        </w:rPr>
        <w:t>3 16 006 (Nuages)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Valeur pour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Valeur pour 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t>Niveau de vol (base de 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t>Niveau de vol (sommet de 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 Valeurs des tables de code: FRQ = chiffre de code 8 (8 octas) OCNL EMBD = chiffre de code 6 (6 octas) ISOL = chiffre de code 2 (2 octas) lorsqu’il s’agit d’un cumulonimbus (Cb)</w:t>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Annuler | Fin d'objet</w:t>
            </w:r>
          </w:p>
        </w:tc>
        <w:tc>
          <w:tcPr>
            <w:tcW w:type="dxa" w:w="3784"/>
          </w:tcPr>
          <w:p>
            <w:pPr>
              <w:spacing w:before="20" w:after="20"/>
            </w:pPr>
            <w:r/>
            <w:r>
              <w:rPr>
                <w:rFonts w:ascii="Verdana" w:hAnsi="Verdana"/>
                <w:b w:val="0"/>
                <w:sz w:val="16"/>
              </w:rPr>
            </w:r>
          </w:p>
        </w:tc>
      </w:tr>
    </w:tbl>
    <w:p/>
    <w:p>
      <w:r>
        <w:rPr>
          <w:rFonts w:ascii="Verdana" w:hAnsi="Verdana"/>
          <w:b/>
          <w:sz w:val="18"/>
        </w:rPr>
        <w:t>3 16 007 (Front)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Répétition différée de 10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Valeur pour type de fond</w:t>
            </w:r>
          </w:p>
        </w:tc>
        <w:tc>
          <w:tcPr>
            <w:tcW w:type="dxa" w:w="3784"/>
          </w:tcPr>
          <w:p>
            <w:pPr>
              <w:spacing w:before="20" w:after="20"/>
            </w:pPr>
            <w:r/>
            <w:r>
              <w:rPr>
                <w:rFonts w:ascii="Verdana" w:hAnsi="Verdana"/>
                <w:b w:val="0"/>
                <w:sz w:val="16"/>
              </w:rPr>
              <w:t>Note D21: Le sens de déplacement du front doit toujours être indiqué car cette information est utilisée pour le pointage des cartes. Si la vitesse de déplacement du front est de 0, cela dénote un front à déplacement lent. Il existe une valeur dans la table de code pour représenter un front quasi stationnaire.</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Valeur pour ligne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Vitesse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Annuler | Fin d'objet</w:t>
            </w:r>
          </w:p>
        </w:tc>
        <w:tc>
          <w:tcPr>
            <w:tcW w:type="dxa" w:w="3784"/>
          </w:tcPr>
          <w:p>
            <w:pPr>
              <w:spacing w:before="20" w:after="20"/>
            </w:pPr>
            <w:r/>
            <w:r>
              <w:rPr>
                <w:rFonts w:ascii="Verdana" w:hAnsi="Verdana"/>
                <w:b w:val="0"/>
                <w:sz w:val="16"/>
              </w:rPr>
            </w:r>
          </w:p>
        </w:tc>
      </w:tr>
    </w:tbl>
    <w:p/>
    <w:p>
      <w:r>
        <w:rPr>
          <w:rFonts w:ascii="Verdana" w:hAnsi="Verdana"/>
          <w:b/>
          <w:sz w:val="18"/>
        </w:rPr>
        <w:t>3 16 008 (Tropopause)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Répétition différée de 11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Caractéristique correspondant à des données de sondage vertical</w:t>
            </w:r>
          </w:p>
        </w:tc>
        <w:tc>
          <w:tcPr>
            <w:tcW w:type="dxa" w:w="3784"/>
          </w:tcPr>
          <w:p>
            <w:pPr>
              <w:spacing w:before="20" w:after="20"/>
            </w:pPr>
            <w:r/>
            <w:r>
              <w:rPr>
                <w:rFonts w:ascii="Verdana" w:hAnsi="Verdana"/>
                <w:b w:val="0"/>
                <w:sz w:val="16"/>
              </w:rPr>
              <w:t>Bit 3 mis à 1 pour tropopause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Valeur pour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Valeur pour type de tropopause</w:t>
            </w:r>
          </w:p>
        </w:tc>
        <w:tc>
          <w:tcPr>
            <w:tcW w:type="dxa" w:w="3784"/>
          </w:tcPr>
          <w:p>
            <w:pPr>
              <w:spacing w:before="20" w:after="20"/>
            </w:pPr>
            <w:r/>
            <w:r>
              <w:rPr>
                <w:rFonts w:ascii="Verdana" w:hAnsi="Verdana"/>
                <w:b w:val="0"/>
                <w:sz w:val="16"/>
              </w:rPr>
              <w:t>Note D58: Il s’agit de déterminer si les niveaux de la tropopause indiqués ci-après sont des valeurs minimales, maximales ou ponctuelles (code de la valeur manquante).</w:t>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Caractéristique correspondant à des données de sondage vertical</w:t>
            </w:r>
          </w:p>
        </w:tc>
        <w:tc>
          <w:tcPr>
            <w:tcW w:type="dxa" w:w="3784"/>
          </w:tcPr>
          <w:p>
            <w:pPr>
              <w:spacing w:before="20" w:after="20"/>
            </w:pPr>
            <w:r/>
            <w:r>
              <w:rPr>
                <w:rFonts w:ascii="Verdana" w:hAnsi="Verdana"/>
                <w:b w:val="0"/>
                <w:sz w:val="16"/>
              </w:rPr>
              <w:t>Annuler | Fin d'objet</w:t>
            </w:r>
          </w:p>
        </w:tc>
        <w:tc>
          <w:tcPr>
            <w:tcW w:type="dxa" w:w="3784"/>
          </w:tcPr>
          <w:p>
            <w:pPr>
              <w:spacing w:before="20" w:after="20"/>
            </w:pPr>
            <w:r/>
            <w:r>
              <w:rPr>
                <w:rFonts w:ascii="Verdana" w:hAnsi="Verdana"/>
                <w:b w:val="0"/>
                <w:sz w:val="16"/>
              </w:rPr>
            </w:r>
          </w:p>
        </w:tc>
      </w:tr>
    </w:tbl>
    <w:p/>
    <w:p>
      <w:r>
        <w:rPr>
          <w:rFonts w:ascii="Verdana" w:hAnsi="Verdana"/>
          <w:b/>
          <w:sz w:val="18"/>
        </w:rPr>
        <w:t>3 16 009 (Zone de givrage d'aéronef)</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Répétition différée de 11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Valeur pour givrage d'aéronef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Valeur pour 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t>Niveau de vol (base de 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t>Niveau de vol (sommet de 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Givrage d'aéronef</w:t>
            </w:r>
          </w:p>
        </w:tc>
        <w:tc>
          <w:tcPr>
            <w:tcW w:type="dxa" w:w="3784"/>
          </w:tcPr>
          <w:p>
            <w:pPr>
              <w:spacing w:before="20" w:after="20"/>
            </w:pPr>
            <w:r/>
            <w:r>
              <w:rPr>
                <w:rFonts w:ascii="Verdana" w:hAnsi="Verdana"/>
                <w:b w:val="0"/>
                <w:sz w:val="16"/>
              </w:rPr>
              <w:t>Type de givrage d'aéronef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Annuler | Fin d'objet</w:t>
            </w:r>
          </w:p>
        </w:tc>
        <w:tc>
          <w:tcPr>
            <w:tcW w:type="dxa" w:w="3784"/>
          </w:tcPr>
          <w:p>
            <w:pPr>
              <w:spacing w:before="20" w:after="20"/>
            </w:pPr>
            <w:r/>
            <w:r>
              <w:rPr>
                <w:rFonts w:ascii="Verdana" w:hAnsi="Verdana"/>
                <w:b w:val="0"/>
                <w:sz w:val="16"/>
              </w:rPr>
            </w:r>
          </w:p>
        </w:tc>
      </w:tr>
    </w:tbl>
    <w:p/>
    <w:p>
      <w:r>
        <w:rPr>
          <w:rFonts w:ascii="Verdana" w:hAnsi="Verdana"/>
          <w:b/>
          <w:sz w:val="18"/>
        </w:rPr>
        <w:t>3 16 010 (Nom de la caractéristique)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Répétition différée de 7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Valeur pour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Nom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Annuler | Fin d'objet</w:t>
            </w:r>
          </w:p>
        </w:tc>
        <w:tc>
          <w:tcPr>
            <w:tcW w:type="dxa" w:w="3784"/>
          </w:tcPr>
          <w:p>
            <w:pPr>
              <w:spacing w:before="20" w:after="20"/>
            </w:pPr>
            <w:r/>
            <w:r>
              <w:rPr>
                <w:rFonts w:ascii="Verdana" w:hAnsi="Verdana"/>
                <w:b w:val="0"/>
                <w:sz w:val="16"/>
              </w:rPr>
            </w:r>
          </w:p>
        </w:tc>
      </w:tr>
    </w:tbl>
    <w:p/>
    <w:p>
      <w:r>
        <w:rPr>
          <w:rFonts w:ascii="Verdana" w:hAnsi="Verdana"/>
          <w:b/>
          <w:sz w:val="18"/>
        </w:rPr>
        <w:t>3 16 011 (Volcan en éruption)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1 17 000</w:t>
            </w:r>
          </w:p>
        </w:tc>
        <w:tc>
          <w:tcPr>
            <w:tcW w:type="dxa" w:w="3784"/>
          </w:tcPr>
          <w:p>
            <w:pPr>
              <w:spacing w:before="20" w:after="20"/>
            </w:pPr>
            <w:r/>
            <w:r>
              <w:rPr>
                <w:rFonts w:ascii="Verdana" w:hAnsi="Verdana"/>
                <w:b w:val="0"/>
                <w:sz w:val="16"/>
              </w:rPr>
              <w:t>Répétition différée de 17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Valeur pour nuages spéciaux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Nom de la caractéristique</w:t>
            </w:r>
          </w:p>
        </w:tc>
        <w:tc>
          <w:tcPr>
            <w:tcW w:type="dxa" w:w="3784"/>
          </w:tcPr>
          <w:p>
            <w:pPr>
              <w:spacing w:before="20" w:after="20"/>
            </w:pPr>
            <w:r/>
            <w:r>
              <w:rPr>
                <w:rFonts w:ascii="Verdana" w:hAnsi="Verdana"/>
                <w:b w:val="0"/>
                <w:sz w:val="16"/>
              </w:rPr>
              <w:t>Nom du volcan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Valeur pour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Heure du début de l'éruption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Nuages spéciaux</w:t>
            </w:r>
          </w:p>
        </w:tc>
        <w:tc>
          <w:tcPr>
            <w:tcW w:type="dxa" w:w="3784"/>
          </w:tcPr>
          <w:p>
            <w:pPr>
              <w:spacing w:before="20" w:after="20"/>
            </w:pPr>
            <w:r/>
            <w:r>
              <w:rPr>
                <w:rFonts w:ascii="Verdana" w:hAnsi="Verdana"/>
                <w:b w:val="0"/>
                <w:sz w:val="16"/>
              </w:rPr>
              <w:t>Nuages engendrés par les éruptions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Annuler | Fin d'objet</w:t>
            </w:r>
          </w:p>
        </w:tc>
        <w:tc>
          <w:tcPr>
            <w:tcW w:type="dxa" w:w="3784"/>
          </w:tcPr>
          <w:p>
            <w:pPr>
              <w:spacing w:before="20" w:after="20"/>
            </w:pPr>
            <w:r/>
            <w:r>
              <w:rPr>
                <w:rFonts w:ascii="Verdana" w:hAnsi="Verdana"/>
                <w:b w:val="0"/>
                <w:sz w:val="16"/>
              </w:rPr>
            </w:r>
          </w:p>
        </w:tc>
      </w:tr>
    </w:tbl>
    <w:p/>
    <w:p>
      <w:r>
        <w:rPr>
          <w:rFonts w:ascii="Verdana" w:hAnsi="Verdana"/>
          <w:b/>
          <w:sz w:val="18"/>
        </w:rPr>
        <w:t>3 16 020 (Identification de la tempête tropicale)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0 01 025</w:t>
            </w:r>
          </w:p>
        </w:tc>
        <w:tc>
          <w:tcPr>
            <w:tcW w:type="dxa" w:w="3784"/>
          </w:tcPr>
          <w:p>
            <w:pPr>
              <w:spacing w:before="20" w:after="20"/>
            </w:pPr>
            <w:r/>
            <w:r>
              <w:rPr>
                <w:rFonts w:ascii="Verdana" w:hAnsi="Verdana"/>
                <w:b w:val="0"/>
                <w:sz w:val="16"/>
              </w:rPr>
              <w:t>Indicateur de la tempête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Nom OMM complet de la tempête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16 021 (Données d'analyse)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Méthode d'estimation utilisée pour les comptes rendus relatifs aux caractéristiques synoptiques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Type de la caractéristique synoptique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Rayon réel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Vitesse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0 19 008</w:t>
            </w:r>
          </w:p>
        </w:tc>
        <w:tc>
          <w:tcPr>
            <w:tcW w:type="dxa" w:w="3784"/>
          </w:tcPr>
          <w:p>
            <w:pPr>
              <w:spacing w:before="20" w:after="20"/>
            </w:pPr>
            <w:r/>
            <w:r>
              <w:rPr>
                <w:rFonts w:ascii="Verdana" w:hAnsi="Verdana"/>
                <w:b w:val="0"/>
                <w:sz w:val="16"/>
              </w:rPr>
              <w:t>Extension verticale de la circulation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Signification de la caractéristique météorologique</w:t>
            </w:r>
          </w:p>
        </w:tc>
        <w:tc>
          <w:tcPr>
            <w:tcW w:type="dxa" w:w="3784"/>
          </w:tcPr>
          <w:p>
            <w:pPr>
              <w:spacing w:before="20" w:after="20"/>
            </w:pPr>
            <w:r/>
            <w:r>
              <w:rPr>
                <w:rFonts w:ascii="Verdana" w:hAnsi="Verdana"/>
                <w:b w:val="0"/>
                <w:sz w:val="16"/>
              </w:rPr>
              <w:t>= 1 Centre de la tempête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Centre de la tempête selon le qualificatif de signification précédent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Signification de la caractéristique météorologique</w:t>
            </w:r>
          </w:p>
        </w:tc>
        <w:tc>
          <w:tcPr>
            <w:tcW w:type="dxa" w:w="3784"/>
          </w:tcPr>
          <w:p>
            <w:pPr>
              <w:spacing w:before="20" w:after="20"/>
            </w:pPr>
            <w:r/>
            <w:r>
              <w:rPr>
                <w:rFonts w:ascii="Verdana" w:hAnsi="Verdana"/>
                <w:b w:val="0"/>
                <w:sz w:val="16"/>
              </w:rPr>
              <w:t>= 2 Limite extérieure ou bord de la caractéristique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Limite extérieure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Rayon réel de la caractéristique</w:t>
            </w:r>
          </w:p>
        </w:tc>
        <w:tc>
          <w:tcPr>
            <w:tcW w:type="dxa" w:w="3784"/>
          </w:tcPr>
          <w:p>
            <w:pPr>
              <w:spacing w:before="20" w:after="20"/>
            </w:pPr>
            <w:r/>
            <w:r>
              <w:rPr>
                <w:rFonts w:ascii="Verdana" w:hAnsi="Verdana"/>
                <w:b w:val="0"/>
                <w:sz w:val="16"/>
              </w:rPr>
              <w:t>Limite extérieure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Signification de la caractéristique météorologique</w:t>
            </w:r>
          </w:p>
        </w:tc>
        <w:tc>
          <w:tcPr>
            <w:tcW w:type="dxa" w:w="3784"/>
          </w:tcPr>
          <w:p>
            <w:pPr>
              <w:spacing w:before="20" w:after="20"/>
            </w:pPr>
            <w:r/>
            <w:r>
              <w:rPr>
                <w:rFonts w:ascii="Verdana" w:hAnsi="Verdana"/>
                <w:b w:val="0"/>
                <w:sz w:val="16"/>
              </w:rPr>
              <w:t>= 3 Emplacement du vent maximal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Moyennée dans le temps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0 11 040</w:t>
            </w:r>
          </w:p>
        </w:tc>
        <w:tc>
          <w:tcPr>
            <w:tcW w:type="dxa" w:w="3784"/>
          </w:tcPr>
          <w:p>
            <w:pPr>
              <w:spacing w:before="20" w:after="20"/>
            </w:pPr>
            <w:r/>
            <w:r>
              <w:rPr>
                <w:rFonts w:ascii="Verdana" w:hAnsi="Verdana"/>
                <w:b w:val="0"/>
                <w:sz w:val="16"/>
              </w:rPr>
              <w:t>Vitesse maximale du vent (vent moyen)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Rayon réel de la caractéristique</w:t>
            </w:r>
          </w:p>
        </w:tc>
        <w:tc>
          <w:tcPr>
            <w:tcW w:type="dxa" w:w="3784"/>
          </w:tcPr>
          <w:p>
            <w:pPr>
              <w:spacing w:before="20" w:after="20"/>
            </w:pPr>
            <w:r/>
            <w:r>
              <w:rPr>
                <w:rFonts w:ascii="Verdana" w:hAnsi="Verdana"/>
                <w:b w:val="0"/>
                <w:sz w:val="16"/>
              </w:rPr>
              <w:t>Vent maximal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Répéter 5 descripteurs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Début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Fin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Seuil de 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Rayon réel pour les vitesses du vent supérieures au seuil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16 022 (Données de prévision)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Application de production</w:t>
            </w:r>
          </w:p>
        </w:tc>
        <w:tc>
          <w:tcPr>
            <w:tcW w:type="dxa" w:w="3784"/>
          </w:tcPr>
          <w:p>
            <w:pPr>
              <w:spacing w:before="20" w:after="20"/>
            </w:pPr>
            <w:r/>
            <w:r>
              <w:rPr>
                <w:rFonts w:ascii="Verdana" w:hAnsi="Verdana"/>
                <w:b w:val="0"/>
                <w:sz w:val="16"/>
              </w:rPr>
              <w:t>Nom du modèle de PNT, etc., table de code définie par le centre d'origine/ de production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Méthode d'estimation utilisée pour les comptes rendus relatifs aux caractéristiques synoptiques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Type de la caractéristique synoptique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0 19 010</w:t>
            </w:r>
          </w:p>
        </w:tc>
        <w:tc>
          <w:tcPr>
            <w:tcW w:type="dxa" w:w="3784"/>
          </w:tcPr>
          <w:p>
            <w:pPr>
              <w:spacing w:before="20" w:after="20"/>
            </w:pPr>
            <w:r/>
            <w:r>
              <w:rPr>
                <w:rFonts w:ascii="Verdana" w:hAnsi="Verdana"/>
                <w:b w:val="0"/>
                <w:sz w:val="16"/>
              </w:rPr>
              <w:t>Méthode d'obtention du centre de la caractéristique synoptique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1 18 000</w:t>
            </w:r>
          </w:p>
        </w:tc>
        <w:tc>
          <w:tcPr>
            <w:tcW w:type="dxa" w:w="3784"/>
          </w:tcPr>
          <w:p>
            <w:pPr>
              <w:spacing w:before="20" w:after="20"/>
            </w:pPr>
            <w:r/>
            <w:r>
              <w:rPr>
                <w:rFonts w:ascii="Verdana" w:hAnsi="Verdana"/>
                <w:b w:val="0"/>
                <w:sz w:val="16"/>
              </w:rPr>
              <w:t>Répétition différée de 18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0 04 014</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Signification de la caractéristique météorologique</w:t>
            </w:r>
          </w:p>
        </w:tc>
        <w:tc>
          <w:tcPr>
            <w:tcW w:type="dxa" w:w="3784"/>
          </w:tcPr>
          <w:p>
            <w:pPr>
              <w:spacing w:before="20" w:after="20"/>
            </w:pPr>
            <w:r/>
            <w:r>
              <w:rPr>
                <w:rFonts w:ascii="Verdana" w:hAnsi="Verdana"/>
                <w:b w:val="0"/>
                <w:sz w:val="16"/>
              </w:rPr>
              <w:t>Caractéristique synoptique de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Vitesse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Utilisé par exemple aux États-Unis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Temps moyenné de la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0 11 040</w:t>
            </w:r>
          </w:p>
        </w:tc>
        <w:tc>
          <w:tcPr>
            <w:tcW w:type="dxa" w:w="3784"/>
          </w:tcPr>
          <w:p>
            <w:pPr>
              <w:spacing w:before="20" w:after="20"/>
            </w:pPr>
            <w:r/>
            <w:r>
              <w:rPr>
                <w:rFonts w:ascii="Verdana" w:hAnsi="Verdana"/>
                <w:b w:val="0"/>
                <w:sz w:val="16"/>
              </w:rPr>
              <w:t>Vitesse maximale du vent (vent moyen)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0 19 008</w:t>
            </w:r>
          </w:p>
        </w:tc>
        <w:tc>
          <w:tcPr>
            <w:tcW w:type="dxa" w:w="3784"/>
          </w:tcPr>
          <w:p>
            <w:pPr>
              <w:spacing w:before="20" w:after="20"/>
            </w:pPr>
            <w:r/>
            <w:r>
              <w:rPr>
                <w:rFonts w:ascii="Verdana" w:hAnsi="Verdana"/>
                <w:b w:val="0"/>
                <w:sz w:val="16"/>
              </w:rPr>
              <w:t>Extension verticale de la circulation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Répéter 5 descripteurs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Début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Fin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Seuil de 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Rayon réel pour les vitesses du vent supérieures au seuil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16 026 (Informations sur l'analyse de la tempête tropicale)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3 16 020</w:t>
            </w:r>
          </w:p>
        </w:tc>
        <w:tc>
          <w:tcPr>
            <w:tcW w:type="dxa" w:w="3784"/>
          </w:tcPr>
          <w:p>
            <w:pPr>
              <w:spacing w:before="20" w:after="20"/>
            </w:pPr>
            <w:r/>
            <w:r>
              <w:rPr>
                <w:rFonts w:ascii="Verdana" w:hAnsi="Verdana"/>
                <w:b w:val="0"/>
                <w:sz w:val="16"/>
              </w:rPr>
              <w:t>Identification de la tempête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3 16 021</w:t>
            </w:r>
          </w:p>
        </w:tc>
        <w:tc>
          <w:tcPr>
            <w:tcW w:type="dxa" w:w="3784"/>
          </w:tcPr>
          <w:p>
            <w:pPr>
              <w:spacing w:before="20" w:after="20"/>
            </w:pPr>
            <w:r/>
            <w:r>
              <w:rPr>
                <w:rFonts w:ascii="Verdana" w:hAnsi="Verdana"/>
                <w:b w:val="0"/>
                <w:sz w:val="16"/>
              </w:rPr>
              <w:t>Données d'analyse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16 027 (Informations sur la prévision de la tempête tropicale)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3 16 020</w:t>
            </w:r>
          </w:p>
        </w:tc>
        <w:tc>
          <w:tcPr>
            <w:tcW w:type="dxa" w:w="3784"/>
          </w:tcPr>
          <w:p>
            <w:pPr>
              <w:spacing w:before="20" w:after="20"/>
            </w:pPr>
            <w:r/>
            <w:r>
              <w:rPr>
                <w:rFonts w:ascii="Verdana" w:hAnsi="Verdana"/>
                <w:b w:val="0"/>
                <w:sz w:val="16"/>
              </w:rPr>
              <w:t>Identification de la tempête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3 16 022</w:t>
            </w:r>
          </w:p>
        </w:tc>
        <w:tc>
          <w:tcPr>
            <w:tcW w:type="dxa" w:w="3784"/>
          </w:tcPr>
          <w:p>
            <w:pPr>
              <w:spacing w:before="20" w:after="20"/>
            </w:pPr>
            <w:r/>
            <w:r>
              <w:rPr>
                <w:rFonts w:ascii="Verdana" w:hAnsi="Verdana"/>
                <w:b w:val="0"/>
                <w:sz w:val="16"/>
              </w:rPr>
              <w:t>Données de prévision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16 030 (En-tête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Période</w:t>
            </w:r>
          </w:p>
        </w:tc>
        <w:tc>
          <w:tcPr>
            <w:tcW w:type="dxa" w:w="3784"/>
          </w:tcPr>
          <w:p>
            <w:pPr>
              <w:spacing w:before="20" w:after="20"/>
            </w:pPr>
            <w:r/>
            <w:r>
              <w:rPr>
                <w:rFonts w:ascii="Verdana" w:hAnsi="Verdana"/>
                <w:b w:val="0"/>
                <w:sz w:val="16"/>
              </w:rPr>
              <w:t>De validité du message SIGMET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0 01 037</w:t>
            </w:r>
          </w:p>
        </w:tc>
        <w:tc>
          <w:tcPr>
            <w:tcW w:type="dxa" w:w="3784"/>
          </w:tcPr>
          <w:p>
            <w:pPr>
              <w:spacing w:before="20" w:after="20"/>
            </w:pPr>
            <w:r/>
            <w:r>
              <w:rPr>
                <w:rFonts w:ascii="Verdana" w:hAnsi="Verdana"/>
                <w:b w:val="0"/>
                <w:sz w:val="16"/>
              </w:rPr>
              <w:t>Numéro de la séquence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0 10 064</w:t>
            </w:r>
          </w:p>
        </w:tc>
        <w:tc>
          <w:tcPr>
            <w:tcW w:type="dxa" w:w="3784"/>
          </w:tcPr>
          <w:p>
            <w:pPr>
              <w:spacing w:before="20" w:after="20"/>
            </w:pPr>
            <w:r/>
            <w:r>
              <w:rPr>
                <w:rFonts w:ascii="Verdana" w:hAnsi="Verdana"/>
                <w:b w:val="0"/>
                <w:sz w:val="16"/>
              </w:rPr>
              <w:t>Niveau de croisière -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Indicateur d'identification du centre suivant</w:t>
            </w:r>
          </w:p>
        </w:tc>
        <w:tc>
          <w:tcPr>
            <w:tcW w:type="dxa" w:w="3784"/>
          </w:tcPr>
          <w:p>
            <w:pPr>
              <w:spacing w:before="20" w:after="20"/>
            </w:pPr>
            <w:r/>
            <w:r>
              <w:rPr>
                <w:rFonts w:ascii="Verdana" w:hAnsi="Verdana"/>
                <w:b w:val="0"/>
                <w:sz w:val="16"/>
              </w:rPr>
              <w:t>= 1 Organismes ATS desservant la FIR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Indicateur court d'emplacement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Indicateur d'identification du centre suivant</w:t>
            </w:r>
          </w:p>
        </w:tc>
        <w:tc>
          <w:tcPr>
            <w:tcW w:type="dxa" w:w="3784"/>
          </w:tcPr>
          <w:p>
            <w:pPr>
              <w:spacing w:before="20" w:after="20"/>
            </w:pPr>
            <w:r/>
            <w:r>
              <w:rPr>
                <w:rFonts w:ascii="Verdana" w:hAnsi="Verdana"/>
                <w:b w:val="0"/>
                <w:sz w:val="16"/>
              </w:rPr>
              <w:t>= 2 FIR, = 3 UIR, = 4 CTA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0 01 065</w:t>
            </w:r>
          </w:p>
        </w:tc>
        <w:tc>
          <w:tcPr>
            <w:tcW w:type="dxa" w:w="3784"/>
          </w:tcPr>
          <w:p>
            <w:pPr>
              <w:spacing w:before="20" w:after="20"/>
            </w:pPr>
            <w:r/>
            <w:r>
              <w:rPr>
                <w:rFonts w:ascii="Verdana" w:hAnsi="Verdana"/>
                <w:b w:val="0"/>
                <w:sz w:val="16"/>
              </w:rPr>
              <w:t>Indicatif de la région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Indicateur d'identification du centre suivant</w:t>
            </w:r>
          </w:p>
        </w:tc>
        <w:tc>
          <w:tcPr>
            <w:tcW w:type="dxa" w:w="3784"/>
          </w:tcPr>
          <w:p>
            <w:pPr>
              <w:spacing w:before="20" w:after="20"/>
            </w:pPr>
            <w:r/>
            <w:r>
              <w:rPr>
                <w:rFonts w:ascii="Verdana" w:hAnsi="Verdana"/>
                <w:b w:val="0"/>
                <w:sz w:val="16"/>
              </w:rPr>
              <w:t>= 6 MWO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Indicateur court d'emplacement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Indicateur d'identification du centre suivant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16 031 (SIGMET, Emplacement du phénomène observé ou prévu et déplacement)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16 Analyse, = 4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Description d'une caractéristique météorologique en trois ou en deux dimensions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Vitesse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0 20 028</w:t>
            </w:r>
          </w:p>
        </w:tc>
        <w:tc>
          <w:tcPr>
            <w:tcW w:type="dxa" w:w="3784"/>
          </w:tcPr>
          <w:p>
            <w:pPr>
              <w:spacing w:before="20" w:after="20"/>
            </w:pPr>
            <w:r/>
            <w:r>
              <w:rPr>
                <w:rFonts w:ascii="Verdana" w:hAnsi="Verdana"/>
                <w:b w:val="0"/>
                <w:sz w:val="16"/>
              </w:rPr>
              <w:t>Changement d'intensité prévu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16 032 (SIGMET, Emplacement du phénomène prévu)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4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Description d'une caractéristique météorologique en trois ou en deux dimensions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16 033 (SIGMET, Évolution probable)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4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Description d'une caractéristique météorologique en trois ou en deux dimensions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16 034 (Cendres volcaniques -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0 Diffusion normale,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En-tête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 17 Volcan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Nom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 0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Nuages spéciaux</w:t>
            </w:r>
          </w:p>
        </w:tc>
        <w:tc>
          <w:tcPr>
            <w:tcW w:type="dxa" w:w="3784"/>
          </w:tcPr>
          <w:p>
            <w:pPr>
              <w:spacing w:before="20" w:after="20"/>
            </w:pPr>
            <w:r/>
            <w:r>
              <w:rPr>
                <w:rFonts w:ascii="Verdana" w:hAnsi="Verdana"/>
                <w:b w:val="0"/>
                <w:sz w:val="16"/>
              </w:rPr>
              <w:t>= 5 Nuages provoqués par des éruptions volcaniques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Emplacement du phénomène observé ou prévu et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3 16 032</w:t>
            </w:r>
          </w:p>
        </w:tc>
        <w:tc>
          <w:tcPr>
            <w:tcW w:type="dxa" w:w="3784"/>
          </w:tcPr>
          <w:p>
            <w:pPr>
              <w:spacing w:before="20" w:after="20"/>
            </w:pPr>
            <w:r/>
            <w:r>
              <w:rPr>
                <w:rFonts w:ascii="Verdana" w:hAnsi="Verdana"/>
                <w:b w:val="0"/>
                <w:sz w:val="16"/>
              </w:rPr>
              <w:t>SIGMET, Emplacement du phénomène prévu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3 16 033</w:t>
            </w:r>
          </w:p>
        </w:tc>
        <w:tc>
          <w:tcPr>
            <w:tcW w:type="dxa" w:w="3784"/>
          </w:tcPr>
          <w:p>
            <w:pPr>
              <w:spacing w:before="20" w:after="20"/>
            </w:pPr>
            <w:r/>
            <w:r>
              <w:rPr>
                <w:rFonts w:ascii="Verdana" w:hAnsi="Verdana"/>
                <w:b w:val="0"/>
                <w:sz w:val="16"/>
              </w:rPr>
              <w:t>SIGMET, Évolution probable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16 035 (Orage -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0 Diffusion normale,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En-tête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 21 Orage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Autres phénomènes météorologiques</w:t>
            </w:r>
          </w:p>
        </w:tc>
        <w:tc>
          <w:tcPr>
            <w:tcW w:type="dxa" w:w="3784"/>
          </w:tcPr>
          <w:p>
            <w:pPr>
              <w:spacing w:before="20" w:after="20"/>
            </w:pPr>
            <w:r/>
            <w:r>
              <w:rPr>
                <w:rFonts w:ascii="Verdana" w:hAnsi="Verdana"/>
                <w:b w:val="0"/>
                <w:sz w:val="16"/>
              </w:rPr>
              <w:t>Bit 2 = grains ou les 18 bits mis à 1 =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de précipitation</w:t>
            </w:r>
          </w:p>
        </w:tc>
        <w:tc>
          <w:tcPr>
            <w:tcW w:type="dxa" w:w="3784"/>
          </w:tcPr>
          <w:p>
            <w:pPr>
              <w:spacing w:before="20" w:after="20"/>
            </w:pPr>
            <w:r/>
            <w:r>
              <w:rPr>
                <w:rFonts w:ascii="Verdana" w:hAnsi="Verdana"/>
                <w:b w:val="0"/>
                <w:sz w:val="16"/>
              </w:rPr>
              <w:t>Bit 14 = grêle ou les 30 bits mis à 1 =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0 20 008</w:t>
            </w:r>
          </w:p>
        </w:tc>
        <w:tc>
          <w:tcPr>
            <w:tcW w:type="dxa" w:w="3784"/>
          </w:tcPr>
          <w:p>
            <w:pPr>
              <w:spacing w:before="20" w:after="20"/>
            </w:pPr>
            <w:r/>
            <w:r>
              <w:rPr>
                <w:rFonts w:ascii="Verdana" w:hAnsi="Verdana"/>
                <w:b w:val="0"/>
                <w:sz w:val="16"/>
              </w:rPr>
              <w:t>Répartition des nuages, pour l'aviation</w:t>
            </w:r>
          </w:p>
        </w:tc>
        <w:tc>
          <w:tcPr>
            <w:tcW w:type="dxa" w:w="3784"/>
          </w:tcPr>
          <w:p>
            <w:pPr>
              <w:spacing w:before="20" w:after="20"/>
            </w:pPr>
            <w:r/>
            <w:r>
              <w:rPr>
                <w:rFonts w:ascii="Verdana" w:hAnsi="Verdana"/>
                <w:b w:val="0"/>
                <w:sz w:val="16"/>
              </w:rPr>
              <w:t>= 15 OBSC, = 16 EMBD, = 12 FRQ, = 31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Emplacement du phénomène observé ou prévu et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16 036 (Cyclone tropical -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0 Diffusion normale,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En-tête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 22 Cyclone tropical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Nom OMM complet de la tempête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Emplacement du phénomène observé ou prévu et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3 16 032</w:t>
            </w:r>
          </w:p>
        </w:tc>
        <w:tc>
          <w:tcPr>
            <w:tcW w:type="dxa" w:w="3784"/>
          </w:tcPr>
          <w:p>
            <w:pPr>
              <w:spacing w:before="20" w:after="20"/>
            </w:pPr>
            <w:r/>
            <w:r>
              <w:rPr>
                <w:rFonts w:ascii="Verdana" w:hAnsi="Verdana"/>
                <w:b w:val="0"/>
                <w:sz w:val="16"/>
              </w:rPr>
              <w:t>SIGMET, Emplacement du phénomène prévu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3 16 033</w:t>
            </w:r>
          </w:p>
        </w:tc>
        <w:tc>
          <w:tcPr>
            <w:tcW w:type="dxa" w:w="3784"/>
          </w:tcPr>
          <w:p>
            <w:pPr>
              <w:spacing w:before="20" w:after="20"/>
            </w:pPr>
            <w:r/>
            <w:r>
              <w:rPr>
                <w:rFonts w:ascii="Verdana" w:hAnsi="Verdana"/>
                <w:b w:val="0"/>
                <w:sz w:val="16"/>
              </w:rPr>
              <w:t>SIGMET, Évolution probable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16 037 (Turbulence -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0 Diffusion normale,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En-tête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 13 Turbulence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Degré de turbulence</w:t>
            </w:r>
          </w:p>
        </w:tc>
        <w:tc>
          <w:tcPr>
            <w:tcW w:type="dxa" w:w="3784"/>
          </w:tcPr>
          <w:p>
            <w:pPr>
              <w:spacing w:before="20" w:after="20"/>
            </w:pPr>
            <w:r/>
            <w:r>
              <w:rPr>
                <w:rFonts w:ascii="Verdana" w:hAnsi="Verdana"/>
                <w:b w:val="0"/>
                <w:sz w:val="16"/>
              </w:rPr>
              <w:t>= 10 Turbulence modérée, = 11 Turbulence forte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Emplacement du phénomène observé ou prévu et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16 038 (Givrage -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0 Diffusion normale,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En-tête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 15 Givrage d'aéronef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Givrage d'aéronef</w:t>
            </w:r>
          </w:p>
        </w:tc>
        <w:tc>
          <w:tcPr>
            <w:tcW w:type="dxa" w:w="3784"/>
          </w:tcPr>
          <w:p>
            <w:pPr>
              <w:spacing w:before="20" w:after="20"/>
            </w:pPr>
            <w:r/>
            <w:r>
              <w:rPr>
                <w:rFonts w:ascii="Verdana" w:hAnsi="Verdana"/>
                <w:b w:val="0"/>
                <w:sz w:val="16"/>
              </w:rPr>
              <w:t>= 7 Givrage fort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de précipitation</w:t>
            </w:r>
          </w:p>
        </w:tc>
        <w:tc>
          <w:tcPr>
            <w:tcW w:type="dxa" w:w="3784"/>
          </w:tcPr>
          <w:p>
            <w:pPr>
              <w:spacing w:before="20" w:after="20"/>
            </w:pPr>
            <w:r/>
            <w:r>
              <w:rPr>
                <w:rFonts w:ascii="Verdana" w:hAnsi="Verdana"/>
                <w:b w:val="0"/>
                <w:sz w:val="16"/>
              </w:rPr>
              <w:t>Bit 3 = précipitation liquide avec congélation ou les 30 bits mis à 1 =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Emplacement du phénomène observé ou prévu et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16 039 (Onde orographique, tempête de poussière ou tempête de sable -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0 Diffusion normale,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En-tête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 23 Onde orographique, = 24 Tempête de poussière, = 25 Tempête de sable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Intensité du phénomène</w:t>
            </w:r>
          </w:p>
        </w:tc>
        <w:tc>
          <w:tcPr>
            <w:tcW w:type="dxa" w:w="3784"/>
          </w:tcPr>
          <w:p>
            <w:pPr>
              <w:spacing w:before="20" w:after="20"/>
            </w:pPr>
            <w:r/>
            <w:r>
              <w:rPr>
                <w:rFonts w:ascii="Verdana" w:hAnsi="Verdana"/>
                <w:b w:val="0"/>
                <w:sz w:val="16"/>
              </w:rPr>
              <w:t>= 3 Fort, = 5 Dangereux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Emplacement du phénomène observé ou prévu et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16 040 (Annulation d'un message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En-tête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4 Annulation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Période</w:t>
            </w:r>
          </w:p>
        </w:tc>
        <w:tc>
          <w:tcPr>
            <w:tcW w:type="dxa" w:w="3784"/>
          </w:tcPr>
          <w:p>
            <w:pPr>
              <w:spacing w:before="20" w:after="20"/>
            </w:pPr>
            <w:r/>
            <w:r>
              <w:rPr>
                <w:rFonts w:ascii="Verdana" w:hAnsi="Verdana"/>
                <w:b w:val="0"/>
                <w:sz w:val="16"/>
              </w:rPr>
              <w:t>De validité du message SIGMET à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0 01 037</w:t>
            </w:r>
          </w:p>
        </w:tc>
        <w:tc>
          <w:tcPr>
            <w:tcW w:type="dxa" w:w="3784"/>
          </w:tcPr>
          <w:p>
            <w:pPr>
              <w:spacing w:before="20" w:after="20"/>
            </w:pPr>
            <w:r/>
            <w:r>
              <w:rPr>
                <w:rFonts w:ascii="Verdana" w:hAnsi="Verdana"/>
                <w:b w:val="0"/>
                <w:sz w:val="16"/>
              </w:rPr>
              <w:t>Numéro de la séquence SIGMET</w:t>
            </w:r>
          </w:p>
        </w:tc>
        <w:tc>
          <w:tcPr>
            <w:tcW w:type="dxa" w:w="3784"/>
          </w:tcPr>
          <w:p>
            <w:pPr>
              <w:spacing w:before="20" w:after="20"/>
            </w:pPr>
            <w:r/>
            <w:r>
              <w:rPr>
                <w:rFonts w:ascii="Verdana" w:hAnsi="Verdana"/>
                <w:b w:val="0"/>
                <w:sz w:val="16"/>
              </w:rPr>
              <w:t>Du message SIGMET à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0 10 064</w:t>
            </w:r>
          </w:p>
        </w:tc>
        <w:tc>
          <w:tcPr>
            <w:tcW w:type="dxa" w:w="3784"/>
          </w:tcPr>
          <w:p>
            <w:pPr>
              <w:spacing w:before="20" w:after="20"/>
            </w:pPr>
            <w:r/>
            <w:r>
              <w:rPr>
                <w:rFonts w:ascii="Verdana" w:hAnsi="Verdana"/>
                <w:b w:val="0"/>
                <w:sz w:val="16"/>
              </w:rPr>
              <w:t>Niveau de croisière - SIGMET</w:t>
            </w:r>
          </w:p>
        </w:tc>
        <w:tc>
          <w:tcPr>
            <w:tcW w:type="dxa" w:w="3784"/>
          </w:tcPr>
          <w:p>
            <w:pPr>
              <w:spacing w:before="20" w:after="20"/>
            </w:pPr>
            <w:r/>
            <w:r>
              <w:rPr>
                <w:rFonts w:ascii="Verdana" w:hAnsi="Verdana"/>
                <w:b w:val="0"/>
                <w:sz w:val="16"/>
              </w:rPr>
              <w:t>Du message SIGMET à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16 050 (Modèle pour les données RADOB - Partie A: Données relatives aux cyclones tropicaux)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0 02 160</w:t>
            </w:r>
          </w:p>
        </w:tc>
        <w:tc>
          <w:tcPr>
            <w:tcW w:type="dxa" w:w="3784"/>
          </w:tcPr>
          <w:p>
            <w:pPr>
              <w:spacing w:before="20" w:after="20"/>
            </w:pPr>
            <w:r/>
            <w:r>
              <w:rPr>
                <w:rFonts w:ascii="Verdana" w:hAnsi="Verdana"/>
                <w:b w:val="0"/>
                <w:sz w:val="16"/>
              </w:rPr>
              <w:t>Longueur d'onde sur laquelle fonctionne le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Signification de la caractéristique météorologique</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Signification de la caractéristique météorologique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0 19 100</w:t>
            </w:r>
          </w:p>
        </w:tc>
        <w:tc>
          <w:tcPr>
            <w:tcW w:type="dxa" w:w="3784"/>
          </w:tcPr>
          <w:p>
            <w:pPr>
              <w:spacing w:before="20" w:after="20"/>
            </w:pPr>
            <w:r/>
            <w:r>
              <w:rPr>
                <w:rFonts w:ascii="Verdana" w:hAnsi="Verdana"/>
                <w:b w:val="0"/>
                <w:sz w:val="16"/>
              </w:rPr>
              <w:t>Période pour laquelle a été calculé le déplacement du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Vitesse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0 19 101</w:t>
            </w:r>
          </w:p>
        </w:tc>
        <w:tc>
          <w:tcPr>
            <w:tcW w:type="dxa" w:w="3784"/>
          </w:tcPr>
          <w:p>
            <w:pPr>
              <w:spacing w:before="20" w:after="20"/>
            </w:pPr>
            <w:r/>
            <w:r>
              <w:rPr>
                <w:rFonts w:ascii="Verdana" w:hAnsi="Verdana"/>
                <w:b w:val="0"/>
                <w:sz w:val="16"/>
              </w:rPr>
              <w:t>Précision de la position du centre du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0 19 102</w:t>
            </w:r>
          </w:p>
        </w:tc>
        <w:tc>
          <w:tcPr>
            <w:tcW w:type="dxa" w:w="3784"/>
          </w:tcPr>
          <w:p>
            <w:pPr>
              <w:spacing w:before="20" w:after="20"/>
            </w:pPr>
            <w:r/>
            <w:r>
              <w:rPr>
                <w:rFonts w:ascii="Verdana" w:hAnsi="Verdana"/>
                <w:b w:val="0"/>
                <w:sz w:val="16"/>
              </w:rPr>
              <w:t>Configuration et définition de l'œil du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0 19 103</w:t>
            </w:r>
          </w:p>
        </w:tc>
        <w:tc>
          <w:tcPr>
            <w:tcW w:type="dxa" w:w="3784"/>
          </w:tcPr>
          <w:p>
            <w:pPr>
              <w:spacing w:before="20" w:after="20"/>
            </w:pPr>
            <w:r/>
            <w:r>
              <w:rPr>
                <w:rFonts w:ascii="Verdana" w:hAnsi="Verdana"/>
                <w:b w:val="0"/>
                <w:sz w:val="16"/>
              </w:rPr>
              <w:t>Diamètre ou longueur de l'axe principal de l'oeil du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0 19 104</w:t>
            </w:r>
          </w:p>
        </w:tc>
        <w:tc>
          <w:tcPr>
            <w:tcW w:type="dxa" w:w="3784"/>
          </w:tcPr>
          <w:p>
            <w:pPr>
              <w:spacing w:before="20" w:after="20"/>
            </w:pPr>
            <w:r/>
            <w:r>
              <w:rPr>
                <w:rFonts w:ascii="Verdana" w:hAnsi="Verdana"/>
                <w:b w:val="0"/>
                <w:sz w:val="16"/>
              </w:rPr>
              <w:t>Évolution du caractère de l'œil durant les 30 minutes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0 19 105</w:t>
            </w:r>
          </w:p>
        </w:tc>
        <w:tc>
          <w:tcPr>
            <w:tcW w:type="dxa" w:w="3784"/>
          </w:tcPr>
          <w:p>
            <w:pPr>
              <w:spacing w:before="20" w:after="20"/>
            </w:pPr>
            <w:r/>
            <w:r>
              <w:rPr>
                <w:rFonts w:ascii="Verdana" w:hAnsi="Verdana"/>
                <w:b w:val="0"/>
                <w:sz w:val="16"/>
              </w:rPr>
              <w:t>Distance entre l'extrémité de la bande en spirale et le centre du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16 052 (Modèle pour les données SAREP - Partie A: Données relatives aux cyclones tropicaux)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3 01 005</w:t>
            </w:r>
          </w:p>
        </w:tc>
        <w:tc>
          <w:tcPr>
            <w:tcW w:type="dxa" w:w="3784"/>
          </w:tcPr>
          <w:p>
            <w:pPr>
              <w:spacing w:before="20" w:after="20"/>
            </w:pPr>
            <w:r/>
            <w:r>
              <w:rPr>
                <w:rFonts w:ascii="Verdana" w:hAnsi="Verdana"/>
                <w:b w:val="0"/>
                <w:sz w:val="16"/>
              </w:rPr>
              <w:t>Centre d'origine/centre secondaire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0 25 150</w:t>
            </w:r>
          </w:p>
        </w:tc>
        <w:tc>
          <w:tcPr>
            <w:tcW w:type="dxa" w:w="3784"/>
          </w:tcPr>
          <w:p>
            <w:pPr>
              <w:spacing w:before="20" w:after="20"/>
            </w:pPr>
            <w:r/>
            <w:r>
              <w:rPr>
                <w:rFonts w:ascii="Verdana" w:hAnsi="Verdana"/>
                <w:b w:val="0"/>
                <w:sz w:val="16"/>
              </w:rPr>
              <w:t>Méthode d'analyse de l'intensité du cyclone tropical par les images de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1 22 000</w:t>
            </w:r>
          </w:p>
        </w:tc>
        <w:tc>
          <w:tcPr>
            <w:tcW w:type="dxa" w:w="3784"/>
          </w:tcPr>
          <w:p>
            <w:pPr>
              <w:spacing w:before="20" w:after="20"/>
            </w:pPr>
            <w:r/>
            <w:r>
              <w:rPr>
                <w:rFonts w:ascii="Verdana" w:hAnsi="Verdana"/>
                <w:b w:val="0"/>
                <w:sz w:val="16"/>
              </w:rPr>
              <w:t>Répétition différée de 22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Nom OMM complet de la tempête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0 19 150</w:t>
            </w:r>
          </w:p>
        </w:tc>
        <w:tc>
          <w:tcPr>
            <w:tcW w:type="dxa" w:w="3784"/>
          </w:tcPr>
          <w:p>
            <w:pPr>
              <w:spacing w:before="20" w:after="20"/>
            </w:pPr>
            <w:r/>
            <w:r>
              <w:rPr>
                <w:rFonts w:ascii="Verdana" w:hAnsi="Verdana"/>
                <w:b w:val="0"/>
                <w:sz w:val="16"/>
              </w:rPr>
              <w:t>Nombre international commun des typhons (Comité des typhons)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0 19 106</w:t>
            </w:r>
          </w:p>
        </w:tc>
        <w:tc>
          <w:tcPr>
            <w:tcW w:type="dxa" w:w="3784"/>
          </w:tcPr>
          <w:p>
            <w:pPr>
              <w:spacing w:before="20" w:after="20"/>
            </w:pPr>
            <w:r/>
            <w:r>
              <w:rPr>
                <w:rFonts w:ascii="Verdana" w:hAnsi="Verdana"/>
                <w:b w:val="0"/>
                <w:sz w:val="16"/>
              </w:rPr>
              <w:t>Numéro d'identification du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Signification de la caractéristique météorologique</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Signification de la caractéristique météorologique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0 19 107</w:t>
            </w:r>
          </w:p>
        </w:tc>
        <w:tc>
          <w:tcPr>
            <w:tcW w:type="dxa" w:w="3784"/>
          </w:tcPr>
          <w:p>
            <w:pPr>
              <w:spacing w:before="20" w:after="20"/>
            </w:pPr>
            <w:r/>
            <w:r>
              <w:rPr>
                <w:rFonts w:ascii="Verdana" w:hAnsi="Verdana"/>
                <w:b w:val="0"/>
                <w:sz w:val="16"/>
              </w:rPr>
              <w:t>Période sur laquelle a été calculé le déplacement du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Vitesse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0 19 108</w:t>
            </w:r>
          </w:p>
        </w:tc>
        <w:tc>
          <w:tcPr>
            <w:tcW w:type="dxa" w:w="3784"/>
          </w:tcPr>
          <w:p>
            <w:pPr>
              <w:spacing w:before="20" w:after="20"/>
            </w:pPr>
            <w:r/>
            <w:r>
              <w:rPr>
                <w:rFonts w:ascii="Verdana" w:hAnsi="Verdana"/>
                <w:b w:val="0"/>
                <w:sz w:val="16"/>
              </w:rPr>
              <w:t>Précision de la position géographique du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0 19 109</w:t>
            </w:r>
          </w:p>
        </w:tc>
        <w:tc>
          <w:tcPr>
            <w:tcW w:type="dxa" w:w="3784"/>
          </w:tcPr>
          <w:p>
            <w:pPr>
              <w:spacing w:before="20" w:after="20"/>
            </w:pPr>
            <w:r/>
            <w:r>
              <w:rPr>
                <w:rFonts w:ascii="Verdana" w:hAnsi="Verdana"/>
                <w:b w:val="0"/>
                <w:sz w:val="16"/>
              </w:rPr>
              <w:t>Diamètre moyen de la couverture nuageuse du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0 19 110</w:t>
            </w:r>
          </w:p>
        </w:tc>
        <w:tc>
          <w:tcPr>
            <w:tcW w:type="dxa" w:w="3784"/>
          </w:tcPr>
          <w:p>
            <w:pPr>
              <w:spacing w:before="20" w:after="20"/>
            </w:pPr>
            <w:r/>
            <w:r>
              <w:rPr>
                <w:rFonts w:ascii="Verdana" w:hAnsi="Verdana"/>
                <w:b w:val="0"/>
                <w:sz w:val="16"/>
              </w:rPr>
              <w:t>Variation apparente de l'intensité du cyclone tropical, à 24 heures d'intervalle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0 19 111</w:t>
            </w:r>
          </w:p>
        </w:tc>
        <w:tc>
          <w:tcPr>
            <w:tcW w:type="dxa" w:w="3784"/>
          </w:tcPr>
          <w:p>
            <w:pPr>
              <w:spacing w:before="20" w:after="20"/>
            </w:pPr>
            <w:r/>
            <w:r>
              <w:rPr>
                <w:rFonts w:ascii="Verdana" w:hAnsi="Verdana"/>
                <w:b w:val="0"/>
                <w:sz w:val="16"/>
              </w:rPr>
              <w:t>Nombre CI (intensité courante) du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0 19 112</w:t>
            </w:r>
          </w:p>
        </w:tc>
        <w:tc>
          <w:tcPr>
            <w:tcW w:type="dxa" w:w="3784"/>
          </w:tcPr>
          <w:p>
            <w:pPr>
              <w:spacing w:before="20" w:after="20"/>
            </w:pPr>
            <w:r/>
            <w:r>
              <w:rPr>
                <w:rFonts w:ascii="Verdana" w:hAnsi="Verdana"/>
                <w:b w:val="0"/>
                <w:sz w:val="16"/>
              </w:rPr>
              <w:t>Nombre T (tropical) pour les données (DT) au sujet du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0 19 113</w:t>
            </w:r>
          </w:p>
        </w:tc>
        <w:tc>
          <w:tcPr>
            <w:tcW w:type="dxa" w:w="3784"/>
          </w:tcPr>
          <w:p>
            <w:pPr>
              <w:spacing w:before="20" w:after="20"/>
            </w:pPr>
            <w:r/>
            <w:r>
              <w:rPr>
                <w:rFonts w:ascii="Verdana" w:hAnsi="Verdana"/>
                <w:b w:val="0"/>
                <w:sz w:val="16"/>
              </w:rPr>
              <w:t>Configuration nuageuse correspondant au nombre DT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0 19 114</w:t>
            </w:r>
          </w:p>
        </w:tc>
        <w:tc>
          <w:tcPr>
            <w:tcW w:type="dxa" w:w="3784"/>
          </w:tcPr>
          <w:p>
            <w:pPr>
              <w:spacing w:before="20" w:after="20"/>
            </w:pPr>
            <w:r/>
            <w:r>
              <w:rPr>
                <w:rFonts w:ascii="Verdana" w:hAnsi="Verdana"/>
                <w:b w:val="0"/>
                <w:sz w:val="16"/>
              </w:rPr>
              <w:t>Nombre T attendu du modèle (MET) pour le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0 19 115</w:t>
            </w:r>
          </w:p>
        </w:tc>
        <w:tc>
          <w:tcPr>
            <w:tcW w:type="dxa" w:w="3784"/>
          </w:tcPr>
          <w:p>
            <w:pPr>
              <w:spacing w:before="20" w:after="20"/>
            </w:pPr>
            <w:r/>
            <w:r>
              <w:rPr>
                <w:rFonts w:ascii="Verdana" w:hAnsi="Verdana"/>
                <w:b w:val="0"/>
                <w:sz w:val="16"/>
              </w:rPr>
              <w:t>Tendance sur les 24 heures précédentes (+: intensification, -: affaiblissement)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0 19 116</w:t>
            </w:r>
          </w:p>
        </w:tc>
        <w:tc>
          <w:tcPr>
            <w:tcW w:type="dxa" w:w="3784"/>
          </w:tcPr>
          <w:p>
            <w:pPr>
              <w:spacing w:before="20" w:after="20"/>
            </w:pPr>
            <w:r/>
            <w:r>
              <w:rPr>
                <w:rFonts w:ascii="Verdana" w:hAnsi="Verdana"/>
                <w:b w:val="0"/>
                <w:sz w:val="16"/>
              </w:rPr>
              <w:t>Nombre T de la configuration (PT) du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0 19 117</w:t>
            </w:r>
          </w:p>
        </w:tc>
        <w:tc>
          <w:tcPr>
            <w:tcW w:type="dxa" w:w="3784"/>
          </w:tcPr>
          <w:p>
            <w:pPr>
              <w:spacing w:before="20" w:after="20"/>
            </w:pPr>
            <w:r/>
            <w:r>
              <w:rPr>
                <w:rFonts w:ascii="Verdana" w:hAnsi="Verdana"/>
                <w:b w:val="0"/>
                <w:sz w:val="16"/>
              </w:rPr>
              <w:t>Type d'image de nuages correspondant au nombre PT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0 19 118</w:t>
            </w:r>
          </w:p>
        </w:tc>
        <w:tc>
          <w:tcPr>
            <w:tcW w:type="dxa" w:w="3784"/>
          </w:tcPr>
          <w:p>
            <w:pPr>
              <w:spacing w:before="20" w:after="20"/>
            </w:pPr>
            <w:r/>
            <w:r>
              <w:rPr>
                <w:rFonts w:ascii="Verdana" w:hAnsi="Verdana"/>
                <w:b w:val="0"/>
                <w:sz w:val="16"/>
              </w:rPr>
              <w:t>Nombre T final pour le cyclone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0 19 119</w:t>
            </w:r>
          </w:p>
        </w:tc>
        <w:tc>
          <w:tcPr>
            <w:tcW w:type="dxa" w:w="3784"/>
          </w:tcPr>
          <w:p>
            <w:pPr>
              <w:spacing w:before="20" w:after="20"/>
            </w:pPr>
            <w:r/>
            <w:r>
              <w:rPr>
                <w:rFonts w:ascii="Verdana" w:hAnsi="Verdana"/>
                <w:b w:val="0"/>
                <w:sz w:val="16"/>
              </w:rPr>
              <w:t>Type du nombre T final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16 060 (Définition d'une ligne de grain (3 points: centre, nord, sud) et trajectoire et évolution prévues)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Vitesse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t>Période de validité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0 20 048</w:t>
            </w:r>
          </w:p>
        </w:tc>
        <w:tc>
          <w:tcPr>
            <w:tcW w:type="dxa" w:w="3784"/>
          </w:tcPr>
          <w:p>
            <w:pPr>
              <w:spacing w:before="20" w:after="20"/>
            </w:pPr>
            <w:r/>
            <w:r>
              <w:rPr>
                <w:rFonts w:ascii="Verdana" w:hAnsi="Verdana"/>
                <w:b w:val="0"/>
                <w:sz w:val="16"/>
              </w:rPr>
              <w:t>Évolution du phénomène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Rafale maximale prévue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Intensité des précipitations</w:t>
            </w:r>
          </w:p>
        </w:tc>
        <w:tc>
          <w:tcPr>
            <w:tcW w:type="dxa" w:w="3784"/>
          </w:tcPr>
          <w:p>
            <w:pPr>
              <w:spacing w:before="20" w:after="20"/>
            </w:pPr>
            <w:r/>
            <w:r>
              <w:rPr>
                <w:rFonts w:ascii="Verdana" w:hAnsi="Verdana"/>
                <w:b w:val="0"/>
                <w:sz w:val="16"/>
              </w:rPr>
              <w:t>Intensité des précipitations prévue</w:t>
            </w:r>
          </w:p>
        </w:tc>
        <w:tc>
          <w:tcPr>
            <w:tcW w:type="dxa" w:w="3784"/>
          </w:tcPr>
          <w:p>
            <w:pPr>
              <w:spacing w:before="20" w:after="20"/>
            </w:pPr>
            <w:r/>
            <w:r>
              <w:rPr>
                <w:rFonts w:ascii="Verdana" w:hAnsi="Verdana"/>
                <w:b w:val="0"/>
                <w:sz w:val="16"/>
              </w:rPr>
            </w:r>
          </w:p>
        </w:tc>
      </w:tr>
    </w:tbl>
    <w:p/>
    <w:p>
      <w:r>
        <w:rPr>
          <w:rFonts w:ascii="Verdana" w:hAnsi="Verdana"/>
          <w:b/>
          <w:sz w:val="18"/>
        </w:rPr>
        <w:t>3 16 061 (Définition d'une ligne de grain (centre et plusieurs points: nord et sud) et trajectoire et évolution prévues)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Vitesse de déplacement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t>Période de validité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0 20 048</w:t>
            </w:r>
          </w:p>
        </w:tc>
        <w:tc>
          <w:tcPr>
            <w:tcW w:type="dxa" w:w="3784"/>
          </w:tcPr>
          <w:p>
            <w:pPr>
              <w:spacing w:before="20" w:after="20"/>
            </w:pPr>
            <w:r/>
            <w:r>
              <w:rPr>
                <w:rFonts w:ascii="Verdana" w:hAnsi="Verdana"/>
                <w:b w:val="0"/>
                <w:sz w:val="16"/>
              </w:rPr>
              <w:t>Évolution du phénomène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Rafale maximale prévue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Intensité des précipitations</w:t>
            </w:r>
          </w:p>
        </w:tc>
        <w:tc>
          <w:tcPr>
            <w:tcW w:type="dxa" w:w="3784"/>
          </w:tcPr>
          <w:p>
            <w:pPr>
              <w:spacing w:before="20" w:after="20"/>
            </w:pPr>
            <w:r/>
            <w:r>
              <w:rPr>
                <w:rFonts w:ascii="Verdana" w:hAnsi="Verdana"/>
                <w:b w:val="0"/>
                <w:sz w:val="16"/>
              </w:rPr>
              <w:t>Intensité des précipitations prévue</w:t>
            </w:r>
          </w:p>
        </w:tc>
        <w:tc>
          <w:tcPr>
            <w:tcW w:type="dxa" w:w="3784"/>
          </w:tcPr>
          <w:p>
            <w:pPr>
              <w:spacing w:before="20" w:after="20"/>
            </w:pPr>
            <w:r/>
            <w:r>
              <w:rPr>
                <w:rFonts w:ascii="Verdana" w:hAnsi="Verdana"/>
                <w:b w:val="0"/>
                <w:sz w:val="16"/>
              </w:rPr>
            </w:r>
          </w:p>
        </w:tc>
      </w:tr>
    </w:tbl>
    <w:p/>
    <w:p>
      <w:r>
        <w:rPr>
          <w:rFonts w:ascii="Verdana" w:hAnsi="Verdana"/>
          <w:b/>
          <w:sz w:val="18"/>
        </w:rPr>
        <w:t>3 16 071 (AIRMET graphique Sierra)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Période</w:t>
            </w:r>
          </w:p>
        </w:tc>
        <w:tc>
          <w:tcPr>
            <w:tcW w:type="dxa" w:w="3784"/>
          </w:tcPr>
          <w:p>
            <w:pPr>
              <w:spacing w:before="20" w:after="20"/>
            </w:pPr>
            <w:r/>
            <w:r>
              <w:rPr>
                <w:rFonts w:ascii="Verdana" w:hAnsi="Verdana"/>
                <w:b w:val="0"/>
                <w:sz w:val="16"/>
              </w:rPr>
              <w:t>Pendant laquelle l'AIRMET est valable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3 16 075</w:t>
            </w:r>
          </w:p>
        </w:tc>
        <w:tc>
          <w:tcPr>
            <w:tcW w:type="dxa" w:w="3784"/>
          </w:tcPr>
          <w:p>
            <w:pPr>
              <w:spacing w:before="20" w:after="20"/>
            </w:pPr>
            <w:r/>
            <w:r>
              <w:rPr>
                <w:rFonts w:ascii="Verdana" w:hAnsi="Verdana"/>
                <w:b w:val="0"/>
                <w:sz w:val="16"/>
              </w:rPr>
              <w:t>GFA - Plafond et visibilité IFR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3 16 076</w:t>
            </w:r>
          </w:p>
        </w:tc>
        <w:tc>
          <w:tcPr>
            <w:tcW w:type="dxa" w:w="3784"/>
          </w:tcPr>
          <w:p>
            <w:pPr>
              <w:spacing w:before="20" w:after="20"/>
            </w:pPr>
            <w:r/>
            <w:r>
              <w:rPr>
                <w:rFonts w:ascii="Verdana" w:hAnsi="Verdana"/>
                <w:b w:val="0"/>
                <w:sz w:val="16"/>
              </w:rPr>
              <w:t>GFA - Obscurcissement des montagnes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16 072 (AIRMET graphique Tango)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Période</w:t>
            </w:r>
          </w:p>
        </w:tc>
        <w:tc>
          <w:tcPr>
            <w:tcW w:type="dxa" w:w="3784"/>
          </w:tcPr>
          <w:p>
            <w:pPr>
              <w:spacing w:before="20" w:after="20"/>
            </w:pPr>
            <w:r/>
            <w:r>
              <w:rPr>
                <w:rFonts w:ascii="Verdana" w:hAnsi="Verdana"/>
                <w:b w:val="0"/>
                <w:sz w:val="16"/>
              </w:rPr>
              <w:t>Pendant laquelle l'AIRMET est valable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3 16 077</w:t>
            </w:r>
          </w:p>
        </w:tc>
        <w:tc>
          <w:tcPr>
            <w:tcW w:type="dxa" w:w="3784"/>
          </w:tcPr>
          <w:p>
            <w:pPr>
              <w:spacing w:before="20" w:after="20"/>
            </w:pPr>
            <w:r/>
            <w:r>
              <w:rPr>
                <w:rFonts w:ascii="Verdana" w:hAnsi="Verdana"/>
                <w:b w:val="0"/>
                <w:sz w:val="16"/>
              </w:rPr>
              <w:t>GFA -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3 16 078</w:t>
            </w:r>
          </w:p>
        </w:tc>
        <w:tc>
          <w:tcPr>
            <w:tcW w:type="dxa" w:w="3784"/>
          </w:tcPr>
          <w:p>
            <w:pPr>
              <w:spacing w:before="20" w:after="20"/>
            </w:pPr>
            <w:r/>
            <w:r>
              <w:rPr>
                <w:rFonts w:ascii="Verdana" w:hAnsi="Verdana"/>
                <w:b w:val="0"/>
                <w:sz w:val="16"/>
              </w:rPr>
              <w:t>GFA - Vent de surface fort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3 16 079</w:t>
            </w:r>
          </w:p>
        </w:tc>
        <w:tc>
          <w:tcPr>
            <w:tcW w:type="dxa" w:w="3784"/>
          </w:tcPr>
          <w:p>
            <w:pPr>
              <w:spacing w:before="20" w:after="20"/>
            </w:pPr>
            <w:r/>
            <w:r>
              <w:rPr>
                <w:rFonts w:ascii="Verdana" w:hAnsi="Verdana"/>
                <w:b w:val="0"/>
                <w:sz w:val="16"/>
              </w:rPr>
              <w:t>GFA - Cisaillement du vent à bas niveau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16 073 (AIRMET graphique Zulu)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Période</w:t>
            </w:r>
          </w:p>
        </w:tc>
        <w:tc>
          <w:tcPr>
            <w:tcW w:type="dxa" w:w="3784"/>
          </w:tcPr>
          <w:p>
            <w:pPr>
              <w:spacing w:before="20" w:after="20"/>
            </w:pPr>
            <w:r/>
            <w:r>
              <w:rPr>
                <w:rFonts w:ascii="Verdana" w:hAnsi="Verdana"/>
                <w:b w:val="0"/>
                <w:sz w:val="16"/>
              </w:rPr>
              <w:t>Pendant laquelle l'AIRMET est valable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3 16 080</w:t>
            </w:r>
          </w:p>
        </w:tc>
        <w:tc>
          <w:tcPr>
            <w:tcW w:type="dxa" w:w="3784"/>
          </w:tcPr>
          <w:p>
            <w:pPr>
              <w:spacing w:before="20" w:after="20"/>
            </w:pPr>
            <w:r/>
            <w:r>
              <w:rPr>
                <w:rFonts w:ascii="Verdana" w:hAnsi="Verdana"/>
                <w:b w:val="0"/>
                <w:sz w:val="16"/>
              </w:rPr>
              <w:t>GFA - Givrage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3 16 081</w:t>
            </w:r>
          </w:p>
        </w:tc>
        <w:tc>
          <w:tcPr>
            <w:tcW w:type="dxa" w:w="3784"/>
          </w:tcPr>
          <w:p>
            <w:pPr>
              <w:spacing w:before="20" w:after="20"/>
            </w:pPr>
            <w:r/>
            <w:r>
              <w:rPr>
                <w:rFonts w:ascii="Verdana" w:hAnsi="Verdana"/>
                <w:b w:val="0"/>
                <w:sz w:val="16"/>
              </w:rPr>
              <w:t>GFA - Isotherme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16 074 (Indicateur GFA et emplacement du phénomène observé/prévu)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0 01 039</w:t>
            </w:r>
          </w:p>
        </w:tc>
        <w:tc>
          <w:tcPr>
            <w:tcW w:type="dxa" w:w="3784"/>
          </w:tcPr>
          <w:p>
            <w:pPr>
              <w:spacing w:before="20" w:after="20"/>
            </w:pPr>
            <w:r/>
            <w:r>
              <w:rPr>
                <w:rFonts w:ascii="Verdana" w:hAnsi="Verdana"/>
                <w:b w:val="0"/>
                <w:sz w:val="16"/>
              </w:rPr>
              <w:t>Numéro de séquence des prévisions de zone sous forme graphique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4 Prévision, = 16 Analyse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Période</w:t>
            </w:r>
          </w:p>
        </w:tc>
        <w:tc>
          <w:tcPr>
            <w:tcW w:type="dxa" w:w="3784"/>
          </w:tcPr>
          <w:p>
            <w:pPr>
              <w:spacing w:before="20" w:after="20"/>
            </w:pPr>
            <w:r/>
            <w:r>
              <w:rPr>
                <w:rFonts w:ascii="Verdana" w:hAnsi="Verdana"/>
                <w:b w:val="0"/>
                <w:sz w:val="16"/>
              </w:rPr>
              <w:t>Pendant laquelle le risque est observé/prévu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Description d'une caractéristique météorologique en trois ou en deux dimensions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16 075 (GFA - Plafond et visibilité IFR)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8 Plafond et visibilité IFR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Indicateur GFA et emplacement du phénomène observé/prévu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0 20 006</w:t>
            </w:r>
          </w:p>
        </w:tc>
        <w:tc>
          <w:tcPr>
            <w:tcW w:type="dxa" w:w="3784"/>
          </w:tcPr>
          <w:p>
            <w:pPr>
              <w:spacing w:before="20" w:after="20"/>
            </w:pPr>
            <w:r/>
            <w:r>
              <w:rPr>
                <w:rFonts w:ascii="Verdana" w:hAnsi="Verdana"/>
                <w:b w:val="0"/>
                <w:sz w:val="16"/>
              </w:rPr>
              <w:t>Règles de vol</w:t>
            </w:r>
          </w:p>
        </w:tc>
        <w:tc>
          <w:tcPr>
            <w:tcW w:type="dxa" w:w="3784"/>
          </w:tcPr>
          <w:p>
            <w:pPr>
              <w:spacing w:before="20" w:after="20"/>
            </w:pPr>
            <w:r/>
            <w:r>
              <w:rPr>
                <w:rFonts w:ascii="Verdana" w:hAnsi="Verdana"/>
                <w:b w:val="0"/>
                <w:sz w:val="16"/>
              </w:rPr>
              <w:t>= 1 IFR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de limite représentée par la valeur qui suit</w:t>
            </w:r>
          </w:p>
        </w:tc>
        <w:tc>
          <w:tcPr>
            <w:tcW w:type="dxa" w:w="3784"/>
          </w:tcPr>
          <w:p>
            <w:pPr>
              <w:spacing w:before="20" w:after="20"/>
            </w:pPr>
            <w:r/>
            <w:r>
              <w:rPr>
                <w:rFonts w:ascii="Verdana" w:hAnsi="Verdana"/>
                <w:b w:val="0"/>
                <w:sz w:val="16"/>
              </w:rPr>
              <w:t>= 2 Limite supérieure exclue, = 7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de limite représentée par la valeur qui suit</w:t>
            </w:r>
          </w:p>
        </w:tc>
        <w:tc>
          <w:tcPr>
            <w:tcW w:type="dxa" w:w="3784"/>
          </w:tcPr>
          <w:p>
            <w:pPr>
              <w:spacing w:before="20" w:after="20"/>
            </w:pPr>
            <w:r/>
            <w:r>
              <w:rPr>
                <w:rFonts w:ascii="Verdana" w:hAnsi="Verdana"/>
                <w:b w:val="0"/>
                <w:sz w:val="16"/>
              </w:rPr>
              <w:t>= 2 Limite supérieure exclue, = 7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Obscurcissement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Caractéristique de l'obscurcissement</w:t>
            </w:r>
          </w:p>
        </w:tc>
        <w:tc>
          <w:tcPr>
            <w:tcW w:type="dxa" w:w="3784"/>
          </w:tcPr>
          <w:p>
            <w:pPr>
              <w:spacing w:before="20" w:after="20"/>
            </w:pPr>
            <w:r/>
            <w:r>
              <w:rPr>
                <w:rFonts w:ascii="Verdana" w:hAnsi="Verdana"/>
                <w:b w:val="0"/>
                <w:sz w:val="16"/>
              </w:rPr>
              <w:t>= 6 Chasse-poussière/sable/neige, = 15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16 076 (GFA - Obscurcissement des montagnes)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9 Obscurcissement des montagnes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Indicateur GFA et emplacement du phénomène observé/prévu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0 20 006</w:t>
            </w:r>
          </w:p>
        </w:tc>
        <w:tc>
          <w:tcPr>
            <w:tcW w:type="dxa" w:w="3784"/>
          </w:tcPr>
          <w:p>
            <w:pPr>
              <w:spacing w:before="20" w:after="20"/>
            </w:pPr>
            <w:r/>
            <w:r>
              <w:rPr>
                <w:rFonts w:ascii="Verdana" w:hAnsi="Verdana"/>
                <w:b w:val="0"/>
                <w:sz w:val="16"/>
              </w:rPr>
              <w:t>Règles de vol</w:t>
            </w:r>
          </w:p>
        </w:tc>
        <w:tc>
          <w:tcPr>
            <w:tcW w:type="dxa" w:w="3784"/>
          </w:tcPr>
          <w:p>
            <w:pPr>
              <w:spacing w:before="20" w:after="20"/>
            </w:pPr>
            <w:r/>
            <w:r>
              <w:rPr>
                <w:rFonts w:ascii="Verdana" w:hAnsi="Verdana"/>
                <w:b w:val="0"/>
                <w:sz w:val="16"/>
              </w:rPr>
              <w:t>= 1 IFR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Obscurcissement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Caractéristique de l'obscurcissement</w:t>
            </w:r>
          </w:p>
        </w:tc>
        <w:tc>
          <w:tcPr>
            <w:tcW w:type="dxa" w:w="3784"/>
          </w:tcPr>
          <w:p>
            <w:pPr>
              <w:spacing w:before="20" w:after="20"/>
            </w:pPr>
            <w:r/>
            <w:r>
              <w:rPr>
                <w:rFonts w:ascii="Verdana" w:hAnsi="Verdana"/>
                <w:b w:val="0"/>
                <w:sz w:val="16"/>
              </w:rPr>
              <w:t>= 6 Chasse-poussière/sable/neige, = 15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16 077 (GFA - Turbulence)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0 Normal, = 1 COR, = 2 AMD, = 3 COR AMD, = 4 CNL, = 13 Turbulence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Indicateur GFA et emplacement du phénomène observé/prévu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Degré de turbulence</w:t>
            </w:r>
          </w:p>
        </w:tc>
        <w:tc>
          <w:tcPr>
            <w:tcW w:type="dxa" w:w="3784"/>
          </w:tcPr>
          <w:p>
            <w:pPr>
              <w:spacing w:before="20" w:after="20"/>
            </w:pPr>
            <w:r/>
            <w:r>
              <w:rPr>
                <w:rFonts w:ascii="Verdana" w:hAnsi="Verdana"/>
                <w:b w:val="0"/>
                <w:sz w:val="16"/>
              </w:rPr>
              <w:t>= 6 Modérée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16 078 (GFA - Vent de surface fort)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10 Vent de surface fort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Indicateur GFA et emplacement du phénomène observé/prévu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de limite représentée par la valeur qui suit</w:t>
            </w:r>
          </w:p>
        </w:tc>
        <w:tc>
          <w:tcPr>
            <w:tcW w:type="dxa" w:w="3784"/>
          </w:tcPr>
          <w:p>
            <w:pPr>
              <w:spacing w:before="20" w:after="20"/>
            </w:pPr>
            <w:r/>
            <w:r>
              <w:rPr>
                <w:rFonts w:ascii="Verdana" w:hAnsi="Verdana"/>
                <w:b w:val="0"/>
                <w:sz w:val="16"/>
              </w:rPr>
              <w:t>= 0 Limite inférieure exclue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Vitesse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16 079 (GFA - Cisaillement du vent à bas niveau)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 16 Phénomène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Indicateur GFA et emplacement du phénomène observé/prévu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Autres phénomènes météorologiques</w:t>
            </w:r>
          </w:p>
        </w:tc>
        <w:tc>
          <w:tcPr>
            <w:tcW w:type="dxa" w:w="3784"/>
          </w:tcPr>
          <w:p>
            <w:pPr>
              <w:spacing w:before="20" w:after="20"/>
            </w:pPr>
            <w:r/>
            <w:r>
              <w:rPr>
                <w:rFonts w:ascii="Verdana" w:hAnsi="Verdana"/>
                <w:b w:val="0"/>
                <w:sz w:val="16"/>
              </w:rPr>
              <w:t>Bit 12 = Cisaillement de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Intensité du phénomène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16 080 (GFA - Givrage)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 15 Givrage d'aéronef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Indicateur GFA et emplacement du phénomène observé/prévu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Givrage d'aéronef</w:t>
            </w:r>
          </w:p>
        </w:tc>
        <w:tc>
          <w:tcPr>
            <w:tcW w:type="dxa" w:w="3784"/>
          </w:tcPr>
          <w:p>
            <w:pPr>
              <w:spacing w:before="20" w:after="20"/>
            </w:pPr>
            <w:r/>
            <w:r>
              <w:rPr>
                <w:rFonts w:ascii="Verdana" w:hAnsi="Verdana"/>
                <w:b w:val="0"/>
                <w:sz w:val="16"/>
              </w:rPr>
              <w:t>= 4 Givrage modéré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16 081 (GFA - Isotherme 0 °C)</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11 Isotherme 0 °C, = 12 Zéros multiples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Indicateur GFA et emplacement du phénomène observé/prévu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p>
      <w:r>
        <w:rPr>
          <w:rFonts w:ascii="Verdana" w:hAnsi="Verdana"/>
          <w:i/>
          <w:sz w:val="14"/>
        </w:rPr>
        <w:t>Note D10: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