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10</w:t>
      </w:r>
    </w:p>
    <w:p>
      <w:r>
        <w:rPr>
          <w:rFonts w:ascii="Arial" w:hAnsi="Arial"/>
          <w:b/>
          <w:sz w:val="18"/>
        </w:rPr>
        <w:t>010063  Характеристика барической тенденции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Рост, затем падение; атмосферное давление такое же или выше,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Рост, затем ровный ход; или рост, затем более слабый рост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Атмосферное давление выше,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Рост (равномерный или неравномерный)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Атмосферное давление выше,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Падение или ровный ход, затем рост; затем более слабый рост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Атмосферное давление выше,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Ровный ход; атмосферное давление такое же, как и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Падение, затем рост; атмосферное давление такое же или ниже,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Падение, затем ровный ход; или падение, затем более слабое падение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Атмосферное давление ниже,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Падение (равномерное или неравномерное)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Атмосферное давление ниже,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Ровный ход или рост, затем падение; или падение, затем падение более сильное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Атмосферное давление ниже, чем 3 часа назад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010064  Крейсерский эшелон SIGMET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Дозвуковой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Околозвуковой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Сверхзвуковой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