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11</w:t>
      </w:r>
    </w:p>
    <w:p>
      <w:r>
        <w:rPr>
          <w:rFonts w:ascii="Arial" w:hAnsi="Arial"/>
          <w:b/>
          <w:sz w:val="18"/>
        </w:rPr>
        <w:t>011030  Повышенная степень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Легкая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Сильная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Легкая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Сильная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Легкая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Сильная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Экстремальная,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Легкая, в отдельных случаях умеренная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Легкая, иногда умеренная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Легкая, часто умеренная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Умеренная, в отдельных случаях сильная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Умеренная, иногда сильная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Умеренная, часто сильная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Сильная, в отдельных случаях экстремальная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Сильная, иногда экстремальная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Сильная, часто экстремальная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011031  Степень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Легкая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Сильная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Легкая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Сильная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Легкая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Сильная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Экстремальная при ясном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Экстремальная при облачном небе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Экстремальная, облачное/ясное небо не указано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011037  Индекс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peak &lt;0,1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peak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peak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ave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ave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ave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Нуль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Нуль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011038  Время наступления пиковой скорости вихревой диссипации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Информации о времени не имеется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011039  Расширенное время наступления пиковой скорости вихревой диссипации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Как и выше, до значения 59 ≤ min &lt; 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Информации о времени не имеется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