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04: Местоположение (время)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Базовый период времени для накопленных или экстремальных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Разность времени, ВСВ – МВ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День года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Сроки наблюдений, использованные для расчета сообщаемых средних величин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