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23: Рассеивание и перенос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Оперативное оповещение об аварии — применимая статья Конвенции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Деятельность или установка, связанные с происшествием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Контрмеры, принятые близ границы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Причина происшествия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Ситуация, связанная с происшествием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Характеристика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текущего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ожидаемого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Возможность значительного химикотоксического воздействия на здоровье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Расход потока в главном приемнике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Поведение выброса во времени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Фактическая высота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Эффективная высота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 до точки выброса или места происшествия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основного переноса в атмосфере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основного переноса в воде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основного переноса в грунтовых водах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Основное направление переноса в атмосфере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Основное направление переноса в воде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Основное направление переноса в грунтовой воде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Возможность взаимодействия шлейфа с осадками, выпавшими в стране происхождения аварии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Воздействие на шлейф изменения в направлении и/или флаге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Расход потока — река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Расход потока — колодец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