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11: Wind and turbulence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wind direction (in degrees off bow)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associated with wind speed which follows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 at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5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Steadiness of wind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147: The steadiness factor (descriptor 0 11 019) is the ratio of speed of the monthly mean vector wind to the speed of the monthly mean scalar wind expressed as a percentage. It is reported to the nearest one percent.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vorticity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Velocity potential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u-component after the vortex removal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v-component after the vortex removal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degree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base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top of turbulence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Turbulence index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Time of occurrence of peak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speed (mean wind)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direction for surface - 1 500 m (5 000 feet)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for surface - 1 500 m (5 000 feet)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instantaneous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instantaneous wind speed over 10 minutes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of vertical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direction for 1 500 - 3 000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wind speed for 1 500 - 3 000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Designator of the runway affected by wind shear (including ALL)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vertical momentum flux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vertical buoyancy flux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Dissipation energy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true airspeed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u-component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v-component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Aircraft ground speed 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EDR algorithm version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Running minimum confidence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number bad inputs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Peak location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good EDR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u-component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v-component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w-component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