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23: Dispersal and transport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Accident early notification - article applicable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Activity or facility involved in 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Countermeasures taken near border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of 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Incident situation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Characteristics of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State of current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State of expected release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Possibility of significant chemical toxic health effect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Flow discharge of major recipient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behaviour over time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Actual release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release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of release point or site of 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speed in the atmosphere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speed in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speed in ground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direction in the atmosphere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direction in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transport direction in ground water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Possibility that plume will encounter precipitation in State in which incident occurred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Plume will encounter change in wind direction and/or speed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Flow discharge - river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Flow discharge - well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