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11: Single level report sequences (conventional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(Aircraft reports)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number, navigational system, date/time, location,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(ACARS reports)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standard reported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supplementary reported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(ACARS standard reported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(ACARS supplementary reported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(Standard AMDAR reports)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(AMDAR data or aircraft data for one level without latitude/longitude)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(Aircraft data for one level with latitude/longitude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(Aircraft ascent/descent profile without latitude/longitude indicated at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AMDAR data or aircraft data for one level without 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(Aircraft ascent/descent profile with latitude/longitude given for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(BUFR template for AMDAR, version 7)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flight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tail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Destination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Two bits 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roll angle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True heading of aircraft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humidity sensors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 present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liquid water content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Supercooled large droplet (SLD) conditions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Percentage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(IAGOS template for a single observation), version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Phase of aircraft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19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of pollutant (mol mol-1)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greater than 5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greater than 14 nm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number density of aerosol particles with diameter between 0.25 and 2.5 µm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 volatile aerosol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integrated cloud particle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integrated cloud particle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integrated cloud particle volume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(BUFR template for aircraft ascent/descent profile with latitude and longitude given for each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 be reported in case of an ascent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Destination airport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 be reported in case of an descent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Date/time and position of first level in profile (for ascent profile first report/take off, for descent profile last report/touch down)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Phase of flight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Ascent or descent profile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levels following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of single level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single level report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data for one level with latitude/longitude indicated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= pressure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Originally measured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derived from Mixing ratio, limited to ≤ 100%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(Aircraft ascent/descent profile data for one level with lat. long. Indicated)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Code table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(Uncrewed aircraft systems (UAS))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Observer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Detailed phase of flight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humidity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3 11 014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(Template for drifting balloon systems)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and instrumentation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Is derived from GNSS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interval (time)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sensor with respect to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=10 means standard-deviation (N)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