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24</w:t>
      </w:r>
    </w:p>
    <w:p>
      <w:r>
        <w:rPr>
          <w:rFonts w:ascii="Verdana" w:hAnsi="Verdana"/>
          <w:b/>
          <w:sz w:val="18"/>
        </w:rPr>
        <w:t>0 24 003  Composición de la emisión de sustancias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Gases nobles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Yoduros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Cesios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Elementos transuránicos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