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08: Calificadores de significación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NOMBRE DEL ELEMENTO</w:t>
            </w:r>
          </w:p>
        </w:tc>
        <w:tc>
          <w:tcPr>
            <w:tcW w:type="dxa" w:w="1514"/>
            <w:shd w:val="clear" w:color="auto" w:fill="D9D9D9"/>
          </w:tcPr>
          <w:p>
            <w:r/>
            <w:r>
              <w:rPr>
                <w:rFonts w:ascii="Verdana" w:hAnsi="Verdana"/>
                <w:b w:val="0"/>
                <w:sz w:val="16"/>
              </w:rPr>
              <w:t>UNIDAD BUFR</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VAL. REF.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UNIDAD CREX</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NOTA</w:t>
            </w:r>
          </w:p>
        </w:tc>
      </w:tr>
      <w:tr>
        <w:trPr>
          <w:cantSplit/>
        </w:trPr>
        <w:tc>
          <w:tcPr>
            <w:tcW w:type="dxa" w:w="1514"/>
          </w:tcPr>
          <w:p>
            <w:r/>
            <w:r>
              <w:rPr>
                <w:rFonts w:ascii="Verdana" w:hAnsi="Verdana"/>
                <w:b w:val="0"/>
                <w:sz w:val="16"/>
              </w:rPr>
              <w:t>0 08 001</w:t>
            </w:r>
          </w:p>
        </w:tc>
        <w:tc>
          <w:tcPr>
            <w:tcW w:type="dxa" w:w="1514"/>
          </w:tcPr>
          <w:p>
            <w:r/>
            <w:r>
              <w:rPr>
                <w:rFonts w:ascii="Verdana" w:hAnsi="Verdana"/>
                <w:b w:val="0"/>
                <w:sz w:val="16"/>
              </w:rPr>
              <w:t>Significación del sondeo vertical</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0 08 002</w:t>
            </w:r>
          </w:p>
        </w:tc>
        <w:tc>
          <w:tcPr>
            <w:tcW w:type="dxa" w:w="1514"/>
          </w:tcPr>
          <w:p>
            <w:r/>
            <w:r>
              <w:rPr>
                <w:rFonts w:ascii="Verdana" w:hAnsi="Verdana"/>
                <w:b w:val="0"/>
                <w:sz w:val="16"/>
              </w:rPr>
              <w:t>Significación vertical (observaciones de superficie)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0 08 003</w:t>
            </w:r>
          </w:p>
        </w:tc>
        <w:tc>
          <w:tcPr>
            <w:tcW w:type="dxa" w:w="1514"/>
          </w:tcPr>
          <w:p>
            <w:r/>
            <w:r>
              <w:rPr>
                <w:rFonts w:ascii="Verdana" w:hAnsi="Verdana"/>
                <w:b w:val="0"/>
                <w:sz w:val="16"/>
              </w:rPr>
              <w:t>Significación vertical (observaciones satelitales)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0 08 004</w:t>
            </w:r>
          </w:p>
        </w:tc>
        <w:tc>
          <w:tcPr>
            <w:tcW w:type="dxa" w:w="1514"/>
          </w:tcPr>
          <w:p>
            <w:r/>
            <w:r>
              <w:rPr>
                <w:rFonts w:ascii="Verdana" w:hAnsi="Verdana"/>
                <w:b w:val="0"/>
                <w:sz w:val="16"/>
              </w:rPr>
              <w:t>Fase del vuelo de la aeronave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0 08 005</w:t>
            </w:r>
          </w:p>
        </w:tc>
        <w:tc>
          <w:tcPr>
            <w:tcW w:type="dxa" w:w="1514"/>
          </w:tcPr>
          <w:p>
            <w:r/>
            <w:r>
              <w:rPr>
                <w:rFonts w:ascii="Verdana" w:hAnsi="Verdana"/>
                <w:b w:val="0"/>
                <w:sz w:val="16"/>
              </w:rPr>
              <w:t>Significación del atributo meteorológico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0 08 006</w:t>
            </w:r>
          </w:p>
        </w:tc>
        <w:tc>
          <w:tcPr>
            <w:tcW w:type="dxa" w:w="1514"/>
          </w:tcPr>
          <w:p>
            <w:r/>
            <w:r>
              <w:rPr>
                <w:rFonts w:ascii="Verdana" w:hAnsi="Verdana"/>
                <w:b w:val="0"/>
                <w:sz w:val="16"/>
              </w:rPr>
              <w:t>Significación del sondeo vertical del ozono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0 08 007</w:t>
            </w:r>
          </w:p>
        </w:tc>
        <w:tc>
          <w:tcPr>
            <w:tcW w:type="dxa" w:w="1514"/>
          </w:tcPr>
          <w:p>
            <w:r/>
            <w:r>
              <w:rPr>
                <w:rFonts w:ascii="Verdana" w:hAnsi="Verdana"/>
                <w:b w:val="0"/>
                <w:sz w:val="16"/>
              </w:rPr>
              <w:t>Significación dimensional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0 08 008</w:t>
            </w:r>
          </w:p>
        </w:tc>
        <w:tc>
          <w:tcPr>
            <w:tcW w:type="dxa" w:w="1514"/>
          </w:tcPr>
          <w:p>
            <w:r/>
            <w:r>
              <w:rPr>
                <w:rFonts w:ascii="Verdana" w:hAnsi="Verdana"/>
                <w:b w:val="0"/>
                <w:sz w:val="16"/>
              </w:rPr>
              <w:t>Significación del sondeo vertical de la radiación</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0 08 009</w:t>
            </w:r>
          </w:p>
        </w:tc>
        <w:tc>
          <w:tcPr>
            <w:tcW w:type="dxa" w:w="1514"/>
          </w:tcPr>
          <w:p>
            <w:r/>
            <w:r>
              <w:rPr>
                <w:rFonts w:ascii="Verdana" w:hAnsi="Verdana"/>
                <w:b w:val="0"/>
                <w:sz w:val="16"/>
              </w:rPr>
              <w:t>Fase detallada de vuelo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0 08 010</w:t>
            </w:r>
          </w:p>
        </w:tc>
        <w:tc>
          <w:tcPr>
            <w:tcW w:type="dxa" w:w="1514"/>
          </w:tcPr>
          <w:p>
            <w:r/>
            <w:r>
              <w:rPr>
                <w:rFonts w:ascii="Verdana" w:hAnsi="Verdana"/>
                <w:b w:val="0"/>
                <w:sz w:val="16"/>
              </w:rPr>
              <w:t>Calificador de superficie (datos de temperatura)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0 08 011</w:t>
            </w:r>
          </w:p>
        </w:tc>
        <w:tc>
          <w:tcPr>
            <w:tcW w:type="dxa" w:w="1514"/>
          </w:tcPr>
          <w:p>
            <w:r/>
            <w:r>
              <w:rPr>
                <w:rFonts w:ascii="Verdana" w:hAnsi="Verdana"/>
                <w:b w:val="0"/>
                <w:sz w:val="16"/>
              </w:rPr>
              <w:t>Característica meteorológica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0 08 012</w:t>
            </w:r>
          </w:p>
        </w:tc>
        <w:tc>
          <w:tcPr>
            <w:tcW w:type="dxa" w:w="1514"/>
          </w:tcPr>
          <w:p>
            <w:r/>
            <w:r>
              <w:rPr>
                <w:rFonts w:ascii="Verdana" w:hAnsi="Verdana"/>
                <w:b w:val="0"/>
                <w:sz w:val="16"/>
              </w:rPr>
              <w:t>Calificador tierra/mar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0 08 013</w:t>
            </w:r>
          </w:p>
        </w:tc>
        <w:tc>
          <w:tcPr>
            <w:tcW w:type="dxa" w:w="1514"/>
          </w:tcPr>
          <w:p>
            <w:r/>
            <w:r>
              <w:rPr>
                <w:rFonts w:ascii="Verdana" w:hAnsi="Verdana"/>
                <w:b w:val="0"/>
                <w:sz w:val="16"/>
              </w:rPr>
              <w:t>Calificador día/noche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0 08 014</w:t>
            </w:r>
          </w:p>
        </w:tc>
        <w:tc>
          <w:tcPr>
            <w:tcW w:type="dxa" w:w="1514"/>
          </w:tcPr>
          <w:p>
            <w:r/>
            <w:r>
              <w:rPr>
                <w:rFonts w:ascii="Verdana" w:hAnsi="Verdana"/>
                <w:b w:val="0"/>
                <w:sz w:val="16"/>
              </w:rPr>
              <w:t>Calificador para el alcance visual en pista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0 08 015</w:t>
            </w:r>
          </w:p>
        </w:tc>
        <w:tc>
          <w:tcPr>
            <w:tcW w:type="dxa" w:w="1514"/>
          </w:tcPr>
          <w:p>
            <w:r/>
            <w:r>
              <w:rPr>
                <w:rFonts w:ascii="Verdana" w:hAnsi="Verdana"/>
                <w:b w:val="0"/>
                <w:sz w:val="16"/>
              </w:rPr>
              <w:t>Calificador significativo del sensor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0 08 016</w:t>
            </w:r>
          </w:p>
        </w:tc>
        <w:tc>
          <w:tcPr>
            <w:tcW w:type="dxa" w:w="1514"/>
          </w:tcPr>
          <w:p>
            <w:r/>
            <w:r>
              <w:rPr>
                <w:rFonts w:ascii="Verdana" w:hAnsi="Verdana"/>
                <w:b w:val="0"/>
                <w:sz w:val="16"/>
              </w:rPr>
              <w:t>Calificador de cambio de un pronóstico de tipo tendencia o de un pronóstico de aeródromo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0 08 017</w:t>
            </w:r>
          </w:p>
        </w:tc>
        <w:tc>
          <w:tcPr>
            <w:tcW w:type="dxa" w:w="1514"/>
          </w:tcPr>
          <w:p>
            <w:r/>
            <w:r>
              <w:rPr>
                <w:rFonts w:ascii="Verdana" w:hAnsi="Verdana"/>
                <w:b w:val="0"/>
                <w:sz w:val="16"/>
              </w:rPr>
              <w:t>Calificador de la hora a la cual se espera que se produzca el cambio previsto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0 08 018</w:t>
            </w:r>
          </w:p>
        </w:tc>
        <w:tc>
          <w:tcPr>
            <w:tcW w:type="dxa" w:w="1514"/>
          </w:tcPr>
          <w:p>
            <w:r/>
            <w:r>
              <w:rPr>
                <w:rFonts w:ascii="Verdana" w:hAnsi="Verdana"/>
                <w:b w:val="0"/>
                <w:sz w:val="16"/>
              </w:rPr>
              <w:t>Tipo de superficie tierra/hielo medida por SeaWinds</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0 08 019</w:t>
            </w:r>
          </w:p>
        </w:tc>
        <w:tc>
          <w:tcPr>
            <w:tcW w:type="dxa" w:w="1514"/>
          </w:tcPr>
          <w:p>
            <w:r/>
            <w:r>
              <w:rPr>
                <w:rFonts w:ascii="Verdana" w:hAnsi="Verdana"/>
                <w:b w:val="0"/>
                <w:sz w:val="16"/>
              </w:rPr>
              <w:t>Calificador para el identificador del centro siguiente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0 08 020</w:t>
            </w:r>
          </w:p>
        </w:tc>
        <w:tc>
          <w:tcPr>
            <w:tcW w:type="dxa" w:w="1514"/>
          </w:tcPr>
          <w:p>
            <w:r/>
            <w:r>
              <w:rPr>
                <w:rFonts w:ascii="Verdana" w:hAnsi="Verdana"/>
                <w:b w:val="0"/>
                <w:sz w:val="16"/>
              </w:rPr>
              <w:t>Número total de períodos sin valores (para el cálculo del total o de la media)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0 08 021</w:t>
            </w:r>
          </w:p>
        </w:tc>
        <w:tc>
          <w:tcPr>
            <w:tcW w:type="dxa" w:w="1514"/>
          </w:tcPr>
          <w:p>
            <w:r/>
            <w:r>
              <w:rPr>
                <w:rFonts w:ascii="Verdana" w:hAnsi="Verdana"/>
                <w:b w:val="0"/>
                <w:sz w:val="16"/>
              </w:rPr>
              <w:t>Significación temporal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0 08 022</w:t>
            </w:r>
          </w:p>
        </w:tc>
        <w:tc>
          <w:tcPr>
            <w:tcW w:type="dxa" w:w="1514"/>
          </w:tcPr>
          <w:p>
            <w:r/>
            <w:r>
              <w:rPr>
                <w:rFonts w:ascii="Verdana" w:hAnsi="Verdana"/>
                <w:b w:val="0"/>
                <w:sz w:val="16"/>
              </w:rPr>
              <w:t>Número total (en relación a la acumulación o promedios)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0 08 023</w:t>
            </w:r>
          </w:p>
        </w:tc>
        <w:tc>
          <w:tcPr>
            <w:tcW w:type="dxa" w:w="1514"/>
          </w:tcPr>
          <w:p>
            <w:r/>
            <w:r>
              <w:rPr>
                <w:rFonts w:ascii="Verdana" w:hAnsi="Verdana"/>
                <w:b w:val="0"/>
                <w:sz w:val="16"/>
              </w:rPr>
              <w:t>Estadísticas de primer orden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70: Este valor es la estimación oficial o la mejor estimación de la elevación real del terreno. Se incluye con fines de comparación con la elevación virtual del terreno en el modelo. Ambas pueden ser sustancialmente diferentes en terreno accidentado. Se incrementa el factor de escala para que el valor sea comparable directamente con 0 07 030 infra.</w:t>
            </w:r>
          </w:p>
        </w:tc>
      </w:tr>
      <w:tr>
        <w:trPr>
          <w:cantSplit/>
        </w:trPr>
        <w:tc>
          <w:tcPr>
            <w:tcW w:type="dxa" w:w="1514"/>
          </w:tcPr>
          <w:p>
            <w:r/>
            <w:r>
              <w:rPr>
                <w:rFonts w:ascii="Verdana" w:hAnsi="Verdana"/>
                <w:b w:val="0"/>
                <w:sz w:val="16"/>
              </w:rPr>
              <w:t>0 08 024</w:t>
            </w:r>
          </w:p>
        </w:tc>
        <w:tc>
          <w:tcPr>
            <w:tcW w:type="dxa" w:w="1514"/>
          </w:tcPr>
          <w:p>
            <w:r/>
            <w:r>
              <w:rPr>
                <w:rFonts w:ascii="Verdana" w:hAnsi="Verdana"/>
                <w:b w:val="0"/>
                <w:sz w:val="16"/>
              </w:rPr>
              <w:t>Estadísticas de diferencia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61: El valor comunicado para 0 19 007 será “faltante” a menos que la sección horizontal que se describe sea un círculo.</w:t>
            </w:r>
          </w:p>
        </w:tc>
      </w:tr>
      <w:tr>
        <w:trPr>
          <w:cantSplit/>
        </w:trPr>
        <w:tc>
          <w:tcPr>
            <w:tcW w:type="dxa" w:w="1514"/>
          </w:tcPr>
          <w:p>
            <w:r/>
            <w:r>
              <w:rPr>
                <w:rFonts w:ascii="Verdana" w:hAnsi="Verdana"/>
                <w:b w:val="0"/>
                <w:sz w:val="16"/>
              </w:rPr>
              <w:t>0 08 025</w:t>
            </w:r>
          </w:p>
        </w:tc>
        <w:tc>
          <w:tcPr>
            <w:tcW w:type="dxa" w:w="1514"/>
          </w:tcPr>
          <w:p>
            <w:r/>
            <w:r>
              <w:rPr>
                <w:rFonts w:ascii="Verdana" w:hAnsi="Verdana"/>
                <w:b w:val="0"/>
                <w:sz w:val="16"/>
              </w:rPr>
              <w:t>Calificador de diferencia de tiempo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49: La mayoría de las estaciones tienen solo una posición sobre la carretera y un sensor de la temperatura subsuperficial. Se han introducido repeticiones diferidas para aumentar la flexibilidad y el rendimiento volumétrico.</w:t>
            </w:r>
          </w:p>
        </w:tc>
      </w:tr>
      <w:tr>
        <w:trPr>
          <w:cantSplit/>
        </w:trPr>
        <w:tc>
          <w:tcPr>
            <w:tcW w:type="dxa" w:w="1514"/>
          </w:tcPr>
          <w:p>
            <w:r/>
            <w:r>
              <w:rPr>
                <w:rFonts w:ascii="Verdana" w:hAnsi="Verdana"/>
                <w:b w:val="0"/>
                <w:sz w:val="16"/>
              </w:rPr>
              <w:t>0 08 026</w:t>
            </w:r>
          </w:p>
        </w:tc>
        <w:tc>
          <w:tcPr>
            <w:tcW w:type="dxa" w:w="1514"/>
          </w:tcPr>
          <w:p>
            <w:r/>
            <w:r>
              <w:rPr>
                <w:rFonts w:ascii="Verdana" w:hAnsi="Verdana"/>
                <w:b w:val="0"/>
                <w:sz w:val="16"/>
              </w:rPr>
              <w:t>Significación matricial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0 08 029</w:t>
            </w:r>
          </w:p>
        </w:tc>
        <w:tc>
          <w:tcPr>
            <w:tcW w:type="dxa" w:w="1514"/>
          </w:tcPr>
          <w:p>
            <w:r/>
            <w:r>
              <w:rPr>
                <w:rFonts w:ascii="Verdana" w:hAnsi="Verdana"/>
                <w:b w:val="0"/>
                <w:sz w:val="16"/>
              </w:rPr>
              <w:t>Tipo de superficie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0 08 030</w:t>
            </w:r>
          </w:p>
        </w:tc>
        <w:tc>
          <w:tcPr>
            <w:tcW w:type="dxa" w:w="1514"/>
          </w:tcPr>
          <w:p>
            <w:r/>
            <w:r>
              <w:rPr>
                <w:rFonts w:ascii="Verdana" w:hAnsi="Verdana"/>
                <w:b w:val="0"/>
                <w:sz w:val="16"/>
              </w:rPr>
              <w:t>Manual de claves (vol. I.1, sec. C) - Tabla de cifrado de la cual se obtienen los datos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0 08 031</w:t>
            </w:r>
          </w:p>
        </w:tc>
        <w:tc>
          <w:tcPr>
            <w:tcW w:type="dxa" w:w="1514"/>
          </w:tcPr>
          <w:p>
            <w:r/>
            <w:r>
              <w:rPr>
                <w:rFonts w:ascii="Verdana" w:hAnsi="Verdana"/>
                <w:b w:val="0"/>
                <w:sz w:val="16"/>
              </w:rPr>
              <w:t>Categoría de datos de la Tabla A de CREX</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0 08 032</w:t>
            </w:r>
          </w:p>
        </w:tc>
        <w:tc>
          <w:tcPr>
            <w:tcW w:type="dxa" w:w="1514"/>
          </w:tcPr>
          <w:p>
            <w:r/>
            <w:r>
              <w:rPr>
                <w:rFonts w:ascii="Verdana" w:hAnsi="Verdana"/>
                <w:b w:val="0"/>
                <w:sz w:val="16"/>
              </w:rPr>
              <w:t>Estado de funcionamiento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0 08 033</w:t>
            </w:r>
          </w:p>
        </w:tc>
        <w:tc>
          <w:tcPr>
            <w:tcW w:type="dxa" w:w="1514"/>
          </w:tcPr>
          <w:p>
            <w:r/>
            <w:r>
              <w:rPr>
                <w:rFonts w:ascii="Verdana" w:hAnsi="Verdana"/>
                <w:b w:val="0"/>
                <w:sz w:val="16"/>
              </w:rPr>
              <w:t>Método de derivación del porcentaje de confianza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50: El descritpor 0 08 092 relativo a la expresión de la incertidumbre de medición y el descriptor 0 08 093 relativo a la significación de la incertidumbre de medición están relacionados con todas las incertidumbres de los parámetros proporcionados en la sección sobre datos de retrodispersión.</w:t>
            </w:r>
          </w:p>
        </w:tc>
      </w:tr>
      <w:tr>
        <w:trPr>
          <w:cantSplit/>
        </w:trPr>
        <w:tc>
          <w:tcPr>
            <w:tcW w:type="dxa" w:w="1514"/>
          </w:tcPr>
          <w:p>
            <w:r/>
            <w:r>
              <w:rPr>
                <w:rFonts w:ascii="Verdana" w:hAnsi="Verdana"/>
                <w:b w:val="0"/>
                <w:sz w:val="16"/>
              </w:rPr>
              <w:t>0 08 034</w:t>
            </w:r>
          </w:p>
        </w:tc>
        <w:tc>
          <w:tcPr>
            <w:tcW w:type="dxa" w:w="1514"/>
          </w:tcPr>
          <w:p>
            <w:r/>
            <w:r>
              <w:rPr>
                <w:rFonts w:ascii="Verdana" w:hAnsi="Verdana"/>
                <w:b w:val="0"/>
                <w:sz w:val="16"/>
              </w:rPr>
              <w:t>Calificador de medición de la temperatura/salinidad</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0 08 035</w:t>
            </w:r>
          </w:p>
        </w:tc>
        <w:tc>
          <w:tcPr>
            <w:tcW w:type="dxa" w:w="1514"/>
          </w:tcPr>
          <w:p>
            <w:r/>
            <w:r>
              <w:rPr>
                <w:rFonts w:ascii="Verdana" w:hAnsi="Verdana"/>
                <w:b w:val="0"/>
                <w:sz w:val="16"/>
              </w:rPr>
              <w:t>Tipo de ejercicio de control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0 08 036</w:t>
            </w:r>
          </w:p>
        </w:tc>
        <w:tc>
          <w:tcPr>
            <w:tcW w:type="dxa" w:w="1514"/>
          </w:tcPr>
          <w:p>
            <w:r/>
            <w:r>
              <w:rPr>
                <w:rFonts w:ascii="Verdana" w:hAnsi="Verdana"/>
                <w:b w:val="0"/>
                <w:sz w:val="16"/>
              </w:rPr>
              <w:t>Tipo de centro o estación que realiza el control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0 08 037</w:t>
            </w:r>
          </w:p>
        </w:tc>
        <w:tc>
          <w:tcPr>
            <w:tcW w:type="dxa" w:w="1514"/>
          </w:tcPr>
          <w:p>
            <w:r/>
            <w:r>
              <w:rPr>
                <w:rFonts w:ascii="Verdana" w:hAnsi="Verdana"/>
                <w:b w:val="0"/>
                <w:sz w:val="16"/>
              </w:rPr>
              <w:t>Significación de la comprobación de la línea de referencia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0 08 038</w:t>
            </w:r>
          </w:p>
        </w:tc>
        <w:tc>
          <w:tcPr>
            <w:tcW w:type="dxa" w:w="1514"/>
          </w:tcPr>
          <w:p>
            <w:r/>
            <w:r>
              <w:rPr>
                <w:rFonts w:ascii="Verdana" w:hAnsi="Verdana"/>
                <w:b w:val="0"/>
                <w:sz w:val="16"/>
              </w:rPr>
              <w:t>Significación de los datos proporcionados por el instrumento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0 08 039</w:t>
            </w:r>
          </w:p>
        </w:tc>
        <w:tc>
          <w:tcPr>
            <w:tcW w:type="dxa" w:w="1514"/>
          </w:tcPr>
          <w:p>
            <w:r/>
            <w:r>
              <w:rPr>
                <w:rFonts w:ascii="Verdana" w:hAnsi="Verdana"/>
                <w:b w:val="0"/>
                <w:sz w:val="16"/>
              </w:rPr>
              <w:t>Significación temporal (predicción aeronáutica)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0 08 040</w:t>
            </w:r>
          </w:p>
        </w:tc>
        <w:tc>
          <w:tcPr>
            <w:tcW w:type="dxa" w:w="1514"/>
          </w:tcPr>
          <w:p>
            <w:r/>
            <w:r>
              <w:rPr>
                <w:rFonts w:ascii="Verdana" w:hAnsi="Verdana"/>
                <w:b w:val="0"/>
                <w:sz w:val="16"/>
              </w:rPr>
              <w:t>Significación del nivel de vuelo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0 08 041</w:t>
            </w:r>
          </w:p>
        </w:tc>
        <w:tc>
          <w:tcPr>
            <w:tcW w:type="dxa" w:w="1514"/>
          </w:tcPr>
          <w:p>
            <w:r/>
            <w:r>
              <w:rPr>
                <w:rFonts w:ascii="Verdana" w:hAnsi="Verdana"/>
                <w:b w:val="0"/>
                <w:sz w:val="16"/>
              </w:rPr>
              <w:t>Significación de datos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0 08 042</w:t>
            </w:r>
          </w:p>
        </w:tc>
        <w:tc>
          <w:tcPr>
            <w:tcW w:type="dxa" w:w="1514"/>
          </w:tcPr>
          <w:p>
            <w:r/>
            <w:r>
              <w:rPr>
                <w:rFonts w:ascii="Verdana" w:hAnsi="Verdana"/>
                <w:b w:val="0"/>
                <w:sz w:val="16"/>
              </w:rPr>
              <w:t>Significación del sondeo vertical ampliado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0 08 043</w:t>
            </w:r>
          </w:p>
        </w:tc>
        <w:tc>
          <w:tcPr>
            <w:tcW w:type="dxa" w:w="1514"/>
          </w:tcPr>
          <w:p>
            <w:r/>
            <w:r>
              <w:rPr>
                <w:rFonts w:ascii="Verdana" w:hAnsi="Verdana"/>
                <w:b w:val="0"/>
                <w:sz w:val="16"/>
              </w:rPr>
              <w:t>Tipo de componente atmosférico químico o físico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169: Cuando se utilice el descriptor 0 08 043 para especificar materia en forma de partículas por debajo de un umbral de tamaño dado, podrá utilizarse también el descriptor 0 08 044 o el 0 08 046 para especificar un subconjunto de la población de partículas en base a su composición iónica.</w:t>
            </w:r>
          </w:p>
        </w:tc>
      </w:tr>
      <w:tr>
        <w:trPr>
          <w:cantSplit/>
        </w:trPr>
        <w:tc>
          <w:tcPr>
            <w:tcW w:type="dxa" w:w="1514"/>
          </w:tcPr>
          <w:p>
            <w:r/>
            <w:r>
              <w:rPr>
                <w:rFonts w:ascii="Verdana" w:hAnsi="Verdana"/>
                <w:b w:val="0"/>
                <w:sz w:val="16"/>
              </w:rPr>
              <w:t>0 08 044</w:t>
            </w:r>
          </w:p>
        </w:tc>
        <w:tc>
          <w:tcPr>
            <w:tcW w:type="dxa" w:w="1514"/>
          </w:tcPr>
          <w:p>
            <w:r/>
            <w:r>
              <w:rPr>
                <w:rFonts w:ascii="Verdana" w:hAnsi="Verdana"/>
                <w:b w:val="0"/>
                <w:sz w:val="16"/>
              </w:rPr>
              <w:t>Número de registro del CAS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88</w:t>
            </w:r>
          </w:p>
        </w:tc>
        <w:tc>
          <w:tcPr>
            <w:tcW w:type="dxa" w:w="1514"/>
          </w:tcPr>
          <w:p>
            <w:r/>
            <w:r>
              <w:rPr>
                <w:rFonts w:ascii="Verdana" w:hAnsi="Verdana"/>
                <w:b w:val="0"/>
                <w:sz w:val="16"/>
              </w:rPr>
              <w:t>Caracteres</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0 08 046</w:t>
            </w:r>
          </w:p>
        </w:tc>
        <w:tc>
          <w:tcPr>
            <w:tcW w:type="dxa" w:w="1514"/>
          </w:tcPr>
          <w:p>
            <w:r/>
            <w:r>
              <w:rPr>
                <w:rFonts w:ascii="Verdana" w:hAnsi="Verdana"/>
                <w:b w:val="0"/>
                <w:sz w:val="16"/>
              </w:rPr>
              <w:t>Tipo de componente químico o físico atmosférico</w:t>
            </w:r>
          </w:p>
        </w:tc>
        <w:tc>
          <w:tcPr>
            <w:tcW w:type="dxa" w:w="1514"/>
          </w:tcPr>
          <w:p>
            <w:r/>
            <w:r>
              <w:rPr>
                <w:rFonts w:ascii="Verdana" w:hAnsi="Verdana"/>
                <w:b w:val="0"/>
                <w:sz w:val="16"/>
              </w:rPr>
              <w:t>Tabla de cifrado común C-14</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Tabla de cifrado común C-14</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0 08 049</w:t>
            </w:r>
          </w:p>
        </w:tc>
        <w:tc>
          <w:tcPr>
            <w:tcW w:type="dxa" w:w="1514"/>
          </w:tcPr>
          <w:p>
            <w:r/>
            <w:r>
              <w:rPr>
                <w:rFonts w:ascii="Verdana" w:hAnsi="Verdana"/>
                <w:b w:val="0"/>
                <w:sz w:val="16"/>
              </w:rPr>
              <w:t>Número de observaciones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0 08 050</w:t>
            </w:r>
          </w:p>
        </w:tc>
        <w:tc>
          <w:tcPr>
            <w:tcW w:type="dxa" w:w="1514"/>
          </w:tcPr>
          <w:p>
            <w:r/>
            <w:r>
              <w:rPr>
                <w:rFonts w:ascii="Verdana" w:hAnsi="Verdana"/>
                <w:b w:val="0"/>
                <w:sz w:val="16"/>
              </w:rPr>
              <w:t>Calificador del número de valores faltantes en el cálculo de estadísticas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0 08 051</w:t>
            </w:r>
          </w:p>
        </w:tc>
        <w:tc>
          <w:tcPr>
            <w:tcW w:type="dxa" w:w="1514"/>
          </w:tcPr>
          <w:p>
            <w:r/>
            <w:r>
              <w:rPr>
                <w:rFonts w:ascii="Verdana" w:hAnsi="Verdana"/>
                <w:b w:val="0"/>
                <w:sz w:val="16"/>
              </w:rPr>
              <w:t>Calificador del número de valores faltantes en el cálculo de estadísticas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0 08 052</w:t>
            </w:r>
          </w:p>
        </w:tc>
        <w:tc>
          <w:tcPr>
            <w:tcW w:type="dxa" w:w="1514"/>
          </w:tcPr>
          <w:p>
            <w:r/>
            <w:r>
              <w:rPr>
                <w:rFonts w:ascii="Verdana" w:hAnsi="Verdana"/>
                <w:b w:val="0"/>
                <w:sz w:val="16"/>
              </w:rPr>
              <w:t>Condición por la que se deduce el número de días de ocurrencia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0 08 053</w:t>
            </w:r>
          </w:p>
        </w:tc>
        <w:tc>
          <w:tcPr>
            <w:tcW w:type="dxa" w:w="1514"/>
          </w:tcPr>
          <w:p>
            <w:r/>
            <w:r>
              <w:rPr>
                <w:rFonts w:ascii="Verdana" w:hAnsi="Verdana"/>
                <w:b w:val="0"/>
                <w:sz w:val="16"/>
              </w:rPr>
              <w:t>Calificador del día de ocurrencia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0 08 054</w:t>
            </w:r>
          </w:p>
        </w:tc>
        <w:tc>
          <w:tcPr>
            <w:tcW w:type="dxa" w:w="1514"/>
          </w:tcPr>
          <w:p>
            <w:r/>
            <w:r>
              <w:rPr>
                <w:rFonts w:ascii="Verdana" w:hAnsi="Verdana"/>
                <w:b w:val="0"/>
                <w:sz w:val="16"/>
              </w:rPr>
              <w:t>Calificador de la velocidad del viento o de las ráfagas de viento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0 08 060</w:t>
            </w:r>
          </w:p>
        </w:tc>
        <w:tc>
          <w:tcPr>
            <w:tcW w:type="dxa" w:w="1514"/>
          </w:tcPr>
          <w:p>
            <w:r/>
            <w:r>
              <w:rPr>
                <w:rFonts w:ascii="Verdana" w:hAnsi="Verdana"/>
                <w:b w:val="0"/>
                <w:sz w:val="16"/>
              </w:rPr>
              <w:t>Significación del modo de exploración de la muestra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0 08 065</w:t>
            </w:r>
          </w:p>
        </w:tc>
        <w:tc>
          <w:tcPr>
            <w:tcW w:type="dxa" w:w="1514"/>
          </w:tcPr>
          <w:p>
            <w:r/>
            <w:r>
              <w:rPr>
                <w:rFonts w:ascii="Verdana" w:hAnsi="Verdana"/>
                <w:b w:val="0"/>
                <w:sz w:val="16"/>
              </w:rPr>
              <w:t>Indicador de destello solar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0 08 066</w:t>
            </w:r>
          </w:p>
        </w:tc>
        <w:tc>
          <w:tcPr>
            <w:tcW w:type="dxa" w:w="1514"/>
          </w:tcPr>
          <w:p>
            <w:r/>
            <w:r>
              <w:rPr>
                <w:rFonts w:ascii="Verdana" w:hAnsi="Verdana"/>
                <w:b w:val="0"/>
                <w:sz w:val="16"/>
              </w:rPr>
              <w:t>Indicador de semitransparencia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0 08 070</w:t>
            </w:r>
          </w:p>
        </w:tc>
        <w:tc>
          <w:tcPr>
            <w:tcW w:type="dxa" w:w="1514"/>
          </w:tcPr>
          <w:p>
            <w:r/>
            <w:r>
              <w:rPr>
                <w:rFonts w:ascii="Verdana" w:hAnsi="Verdana"/>
                <w:b w:val="0"/>
                <w:sz w:val="16"/>
              </w:rPr>
              <w:t>Calificador del producto de sondeo vertical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0 08 072</w:t>
            </w:r>
          </w:p>
        </w:tc>
        <w:tc>
          <w:tcPr>
            <w:tcW w:type="dxa" w:w="1514"/>
          </w:tcPr>
          <w:p>
            <w:r/>
            <w:r>
              <w:rPr>
                <w:rFonts w:ascii="Verdana" w:hAnsi="Verdana"/>
                <w:b w:val="0"/>
                <w:sz w:val="16"/>
              </w:rPr>
              <w:t>Tipo de píxel(es)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0 08 074</w:t>
            </w:r>
          </w:p>
        </w:tc>
        <w:tc>
          <w:tcPr>
            <w:tcW w:type="dxa" w:w="1514"/>
          </w:tcPr>
          <w:p>
            <w:r/>
            <w:r>
              <w:rPr>
                <w:rFonts w:ascii="Verdana" w:hAnsi="Verdana"/>
                <w:b w:val="0"/>
                <w:sz w:val="16"/>
              </w:rPr>
              <w:t>Tipo de eco del altímetro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0 08 075</w:t>
            </w:r>
          </w:p>
        </w:tc>
        <w:tc>
          <w:tcPr>
            <w:tcW w:type="dxa" w:w="1514"/>
          </w:tcPr>
          <w:p>
            <w:r/>
            <w:r>
              <w:rPr>
                <w:rFonts w:ascii="Verdana" w:hAnsi="Verdana"/>
                <w:b w:val="0"/>
                <w:sz w:val="16"/>
              </w:rPr>
              <w:t>Calificador de órbita ascendente/descendente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0 08 076</w:t>
            </w:r>
          </w:p>
        </w:tc>
        <w:tc>
          <w:tcPr>
            <w:tcW w:type="dxa" w:w="1514"/>
          </w:tcPr>
          <w:p>
            <w:r/>
            <w:r>
              <w:rPr>
                <w:rFonts w:ascii="Verdana" w:hAnsi="Verdana"/>
                <w:b w:val="0"/>
                <w:sz w:val="16"/>
              </w:rPr>
              <w:t>Tipo de banda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0 08 077</w:t>
            </w:r>
          </w:p>
        </w:tc>
        <w:tc>
          <w:tcPr>
            <w:tcW w:type="dxa" w:w="1514"/>
          </w:tcPr>
          <w:p>
            <w:r/>
            <w:r>
              <w:rPr>
                <w:rFonts w:ascii="Verdana" w:hAnsi="Verdana"/>
                <w:b w:val="0"/>
                <w:sz w:val="16"/>
              </w:rPr>
              <w:t>Tipo de superficie detectada mediante radiómetro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0 08 079</w:t>
            </w:r>
          </w:p>
        </w:tc>
        <w:tc>
          <w:tcPr>
            <w:tcW w:type="dxa" w:w="1514"/>
          </w:tcPr>
          <w:p>
            <w:r/>
            <w:r>
              <w:rPr>
                <w:rFonts w:ascii="Verdana" w:hAnsi="Verdana"/>
                <w:b w:val="0"/>
                <w:sz w:val="16"/>
              </w:rPr>
              <w:t>Estado del producto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0 08 080</w:t>
            </w:r>
          </w:p>
        </w:tc>
        <w:tc>
          <w:tcPr>
            <w:tcW w:type="dxa" w:w="1514"/>
          </w:tcPr>
          <w:p>
            <w:r/>
            <w:r>
              <w:rPr>
                <w:rFonts w:ascii="Verdana" w:hAnsi="Verdana"/>
                <w:b w:val="0"/>
                <w:sz w:val="16"/>
              </w:rPr>
              <w:t>Calificador del banderín de calidad del GTSPP</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0 08 081</w:t>
            </w:r>
          </w:p>
        </w:tc>
        <w:tc>
          <w:tcPr>
            <w:tcW w:type="dxa" w:w="1514"/>
          </w:tcPr>
          <w:p>
            <w:r/>
            <w:r>
              <w:rPr>
                <w:rFonts w:ascii="Verdana" w:hAnsi="Verdana"/>
                <w:b w:val="0"/>
                <w:sz w:val="16"/>
              </w:rPr>
              <w:t>Tipo de equipo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0 08 082</w:t>
            </w:r>
          </w:p>
        </w:tc>
        <w:tc>
          <w:tcPr>
            <w:tcW w:type="dxa" w:w="1514"/>
          </w:tcPr>
          <w:p>
            <w:r/>
            <w:r>
              <w:rPr>
                <w:rFonts w:ascii="Verdana" w:hAnsi="Verdana"/>
                <w:b w:val="0"/>
                <w:sz w:val="16"/>
              </w:rPr>
              <w:t>Modificación de la altura del sensor a otro valor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0 08 083</w:t>
            </w:r>
          </w:p>
        </w:tc>
        <w:tc>
          <w:tcPr>
            <w:tcW w:type="dxa" w:w="1514"/>
          </w:tcPr>
          <w:p>
            <w:r/>
            <w:r>
              <w:rPr>
                <w:rFonts w:ascii="Verdana" w:hAnsi="Verdana"/>
                <w:b w:val="0"/>
                <w:sz w:val="16"/>
              </w:rPr>
              <w:t>Indicador del valor nominal</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0 08 085</w:t>
            </w:r>
          </w:p>
        </w:tc>
        <w:tc>
          <w:tcPr>
            <w:tcW w:type="dxa" w:w="1514"/>
          </w:tcPr>
          <w:p>
            <w:r/>
            <w:r>
              <w:rPr>
                <w:rFonts w:ascii="Verdana" w:hAnsi="Verdana"/>
                <w:b w:val="0"/>
                <w:sz w:val="16"/>
              </w:rPr>
              <w:t>Identificador del haz</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0 08 086</w:t>
            </w:r>
          </w:p>
        </w:tc>
        <w:tc>
          <w:tcPr>
            <w:tcW w:type="dxa" w:w="1514"/>
          </w:tcPr>
          <w:p>
            <w:r/>
            <w:r>
              <w:rPr>
                <w:rFonts w:ascii="Verdana" w:hAnsi="Verdana"/>
                <w:b w:val="0"/>
                <w:sz w:val="16"/>
              </w:rPr>
              <w:t>Significación vertical para predicción numérica del tiempo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0 08 087</w:t>
            </w:r>
          </w:p>
        </w:tc>
        <w:tc>
          <w:tcPr>
            <w:tcW w:type="dxa" w:w="1514"/>
          </w:tcPr>
          <w:p>
            <w:r/>
            <w:r>
              <w:rPr>
                <w:rFonts w:ascii="Verdana" w:hAnsi="Verdana"/>
                <w:b w:val="0"/>
                <w:sz w:val="16"/>
              </w:rPr>
              <w:t>Posición esquinera de la observación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0 08 088</w:t>
            </w:r>
          </w:p>
        </w:tc>
        <w:tc>
          <w:tcPr>
            <w:tcW w:type="dxa" w:w="1514"/>
          </w:tcPr>
          <w:p>
            <w:r/>
            <w:r>
              <w:rPr>
                <w:rFonts w:ascii="Verdana" w:hAnsi="Verdana"/>
                <w:b w:val="0"/>
                <w:sz w:val="16"/>
              </w:rPr>
              <w:t>Significación del mapa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0 08 090</w:t>
            </w:r>
          </w:p>
        </w:tc>
        <w:tc>
          <w:tcPr>
            <w:tcW w:type="dxa" w:w="1514"/>
          </w:tcPr>
          <w:p>
            <w:r/>
            <w:r>
              <w:rPr>
                <w:rFonts w:ascii="Verdana" w:hAnsi="Verdana"/>
                <w:b w:val="0"/>
                <w:sz w:val="16"/>
              </w:rPr>
              <w:t>Escala decimal de los significandos siguientes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-127</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51: Se debería expresar, de estar disponible, el número de años faltantes del período de referencia del cálculo de la normal para la temperatura extrema media del aire, para el cálculo de las temperaturas máxima y mínima normal, además del número de años faltantes para las temperaturas extremas del aire que se comunican con la cifra 0 08 020 precedida de 0 08 050 en la que se utiliza la figura 3.</w:t>
            </w:r>
          </w:p>
        </w:tc>
      </w:tr>
      <w:tr>
        <w:trPr>
          <w:cantSplit/>
        </w:trPr>
        <w:tc>
          <w:tcPr>
            <w:tcW w:type="dxa" w:w="1514"/>
          </w:tcPr>
          <w:p>
            <w:r/>
            <w:r>
              <w:rPr>
                <w:rFonts w:ascii="Verdana" w:hAnsi="Verdana"/>
                <w:b w:val="0"/>
                <w:sz w:val="16"/>
              </w:rPr>
              <w:t>0 08 091</w:t>
            </w:r>
          </w:p>
        </w:tc>
        <w:tc>
          <w:tcPr>
            <w:tcW w:type="dxa" w:w="1514"/>
          </w:tcPr>
          <w:p>
            <w:r/>
            <w:r>
              <w:rPr>
                <w:rFonts w:ascii="Verdana" w:hAnsi="Verdana"/>
                <w:b w:val="0"/>
                <w:sz w:val="16"/>
              </w:rPr>
              <w:t>Significación de las coordenadas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0 08 092</w:t>
            </w:r>
          </w:p>
        </w:tc>
        <w:tc>
          <w:tcPr>
            <w:tcW w:type="dxa" w:w="1514"/>
          </w:tcPr>
          <w:p>
            <w:r/>
            <w:r>
              <w:rPr>
                <w:rFonts w:ascii="Verdana" w:hAnsi="Verdana"/>
                <w:b w:val="0"/>
                <w:sz w:val="16"/>
              </w:rPr>
              <w:t>Expresión de la incertidumbre en la medición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0 08 093</w:t>
            </w:r>
          </w:p>
        </w:tc>
        <w:tc>
          <w:tcPr>
            <w:tcW w:type="dxa" w:w="1514"/>
          </w:tcPr>
          <w:p>
            <w:r/>
            <w:r>
              <w:rPr>
                <w:rFonts w:ascii="Verdana" w:hAnsi="Verdana"/>
                <w:b w:val="0"/>
                <w:sz w:val="16"/>
              </w:rPr>
              <w:t>Significación de la incertidumbre en la medición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