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15: Componentes físicos/químicos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0 15 001</w:t>
            </w:r>
          </w:p>
        </w:tc>
        <w:tc>
          <w:tcPr>
            <w:tcW w:type="dxa" w:w="1514"/>
          </w:tcPr>
          <w:p>
            <w:r/>
            <w:r>
              <w:rPr>
                <w:rFonts w:ascii="Verdana" w:hAnsi="Verdana"/>
                <w:b w:val="0"/>
                <w:sz w:val="16"/>
              </w:rPr>
              <w:t>Ozono total</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0 15 002</w:t>
            </w:r>
          </w:p>
        </w:tc>
        <w:tc>
          <w:tcPr>
            <w:tcW w:type="dxa" w:w="1514"/>
          </w:tcPr>
          <w:p>
            <w:r/>
            <w:r>
              <w:rPr>
                <w:rFonts w:ascii="Verdana" w:hAnsi="Verdana"/>
                <w:b w:val="0"/>
                <w:sz w:val="16"/>
              </w:rPr>
              <w:t>Masa de aire (correspondiente a una trayectoria oblicua a una altura de 22 km)</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0 15 003</w:t>
            </w:r>
          </w:p>
        </w:tc>
        <w:tc>
          <w:tcPr>
            <w:tcW w:type="dxa" w:w="1514"/>
          </w:tcPr>
          <w:p>
            <w:r/>
            <w:r>
              <w:rPr>
                <w:rFonts w:ascii="Verdana" w:hAnsi="Verdana"/>
                <w:b w:val="0"/>
                <w:sz w:val="16"/>
              </w:rPr>
              <w:t>Presión parcial del ozono medido</w:t>
            </w:r>
          </w:p>
        </w:tc>
        <w:tc>
          <w:tcPr>
            <w:tcW w:type="dxa" w:w="1514"/>
          </w:tcPr>
          <w:p>
            <w:r/>
            <w:r>
              <w:rPr>
                <w:rFonts w:ascii="Verdana" w:hAnsi="Verdana"/>
                <w:b w:val="0"/>
                <w:sz w:val="16"/>
              </w:rPr>
              <w:t>Pa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nbar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 El descriptor 3 04 035 se ha relegado.</w:t>
            </w:r>
          </w:p>
        </w:tc>
      </w:tr>
      <w:tr>
        <w:trPr>
          <w:cantSplit/>
        </w:trPr>
        <w:tc>
          <w:tcPr>
            <w:tcW w:type="dxa" w:w="1514"/>
          </w:tcPr>
          <w:p>
            <w:r/>
            <w:r>
              <w:rPr>
                <w:rFonts w:ascii="Verdana" w:hAnsi="Verdana"/>
                <w:b w:val="0"/>
                <w:sz w:val="16"/>
              </w:rPr>
              <w:t>0 15 004</w:t>
            </w:r>
          </w:p>
        </w:tc>
        <w:tc>
          <w:tcPr>
            <w:tcW w:type="dxa" w:w="1514"/>
          </w:tcPr>
          <w:p>
            <w:r/>
            <w:r>
              <w:rPr>
                <w:rFonts w:ascii="Verdana" w:hAnsi="Verdana"/>
                <w:b w:val="0"/>
                <w:sz w:val="16"/>
              </w:rPr>
              <w:t>Factor de corrección de sondeo del ozono</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t>Note 2: La secuencia 3 07 082 se ha relegado.</w:t>
            </w:r>
          </w:p>
        </w:tc>
      </w:tr>
      <w:tr>
        <w:trPr>
          <w:cantSplit/>
        </w:trPr>
        <w:tc>
          <w:tcPr>
            <w:tcW w:type="dxa" w:w="1514"/>
          </w:tcPr>
          <w:p>
            <w:r/>
            <w:r>
              <w:rPr>
                <w:rFonts w:ascii="Verdana" w:hAnsi="Verdana"/>
                <w:b w:val="0"/>
                <w:sz w:val="16"/>
              </w:rPr>
              <w:t>0 15 005</w:t>
            </w:r>
          </w:p>
        </w:tc>
        <w:tc>
          <w:tcPr>
            <w:tcW w:type="dxa" w:w="1514"/>
          </w:tcPr>
          <w:p>
            <w:r/>
            <w:r>
              <w:rPr>
                <w:rFonts w:ascii="Verdana" w:hAnsi="Verdana"/>
                <w:b w:val="0"/>
                <w:sz w:val="16"/>
              </w:rPr>
              <w:t>p del ozono</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 El descriptor 3 10 027 ha dejado de usarse.</w:t>
            </w:r>
          </w:p>
        </w:tc>
      </w:tr>
      <w:tr>
        <w:trPr>
          <w:cantSplit/>
        </w:trPr>
        <w:tc>
          <w:tcPr>
            <w:tcW w:type="dxa" w:w="1514"/>
          </w:tcPr>
          <w:p>
            <w:r/>
            <w:r>
              <w:rPr>
                <w:rFonts w:ascii="Verdana" w:hAnsi="Verdana"/>
                <w:b w:val="0"/>
                <w:sz w:val="16"/>
              </w:rPr>
              <w:t>0 15 006</w:t>
            </w:r>
          </w:p>
        </w:tc>
        <w:tc>
          <w:tcPr>
            <w:tcW w:type="dxa" w:w="1514"/>
          </w:tcPr>
          <w:p>
            <w:r/>
            <w:r>
              <w:rPr>
                <w:rFonts w:ascii="Verdana" w:hAnsi="Verdana"/>
                <w:b w:val="0"/>
                <w:sz w:val="16"/>
              </w:rPr>
              <w:t>Log10 de la densidad numérica de la atmósfera</w:t>
            </w:r>
          </w:p>
        </w:tc>
        <w:tc>
          <w:tcPr>
            <w:tcW w:type="dxa" w:w="1514"/>
          </w:tcPr>
          <w:p>
            <w:r/>
            <w:r>
              <w:rPr>
                <w:rFonts w:ascii="Verdana" w:hAnsi="Verdana"/>
                <w:b w:val="0"/>
                <w:sz w:val="16"/>
              </w:rPr>
              <w:t>log (m-³)</w:t>
            </w:r>
          </w:p>
        </w:tc>
        <w:tc>
          <w:tcPr>
            <w:tcW w:type="dxa" w:w="1514"/>
          </w:tcPr>
          <w:p>
            <w:r/>
            <w:r>
              <w:rPr>
                <w:rFonts w:ascii="Verdana" w:hAnsi="Verdana"/>
                <w:b w:val="0"/>
                <w:sz w:val="16"/>
              </w:rPr>
              <w:t>5</w:t>
            </w:r>
          </w:p>
        </w:tc>
        <w:tc>
          <w:tcPr>
            <w:tcW w:type="dxa" w:w="1514"/>
          </w:tcPr>
          <w:p>
            <w:r/>
            <w:r>
              <w:rPr>
                <w:rFonts w:ascii="Verdana" w:hAnsi="Verdana"/>
                <w:b w:val="0"/>
                <w:sz w:val="16"/>
              </w:rPr>
              <w:t>1800000</w:t>
            </w:r>
          </w:p>
        </w:tc>
        <w:tc>
          <w:tcPr>
            <w:tcW w:type="dxa" w:w="1514"/>
          </w:tcPr>
          <w:p>
            <w:r/>
            <w:r>
              <w:rPr>
                <w:rFonts w:ascii="Verdana" w:hAnsi="Verdana"/>
                <w:b w:val="0"/>
                <w:sz w:val="16"/>
              </w:rPr>
              <w:t>20</w:t>
            </w:r>
          </w:p>
        </w:tc>
        <w:tc>
          <w:tcPr>
            <w:tcW w:type="dxa" w:w="1514"/>
          </w:tcPr>
          <w:p>
            <w:r/>
            <w:r>
              <w:rPr>
                <w:rFonts w:ascii="Verdana" w:hAnsi="Verdana"/>
                <w:b w:val="0"/>
                <w:sz w:val="16"/>
              </w:rPr>
              <w:t>log (m-³)</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0 15 008</w:t>
            </w:r>
          </w:p>
        </w:tc>
        <w:tc>
          <w:tcPr>
            <w:tcW w:type="dxa" w:w="1514"/>
          </w:tcPr>
          <w:p>
            <w:r/>
            <w:r>
              <w:rPr>
                <w:rFonts w:ascii="Verdana" w:hAnsi="Verdana"/>
                <w:b w:val="0"/>
                <w:sz w:val="16"/>
              </w:rPr>
              <w:t>Significando del cociente de mezclado volumétrico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0 15 009</w:t>
            </w:r>
          </w:p>
        </w:tc>
        <w:tc>
          <w:tcPr>
            <w:tcW w:type="dxa" w:w="1514"/>
          </w:tcPr>
          <w:p>
            <w:r/>
            <w:r>
              <w:rPr>
                <w:rFonts w:ascii="Verdana" w:hAnsi="Verdana"/>
                <w:b w:val="0"/>
                <w:sz w:val="16"/>
              </w:rPr>
              <w:t>Log10 de la densidad numérica de ozono</w:t>
            </w:r>
          </w:p>
        </w:tc>
        <w:tc>
          <w:tcPr>
            <w:tcW w:type="dxa" w:w="1514"/>
          </w:tcPr>
          <w:p>
            <w:r/>
            <w:r>
              <w:rPr>
                <w:rFonts w:ascii="Verdana" w:hAnsi="Verdana"/>
                <w:b w:val="0"/>
                <w:sz w:val="16"/>
              </w:rPr>
              <w:t>log (m-3)</w:t>
            </w:r>
          </w:p>
        </w:tc>
        <w:tc>
          <w:tcPr>
            <w:tcW w:type="dxa" w:w="1514"/>
          </w:tcPr>
          <w:p>
            <w:r/>
            <w:r>
              <w:rPr>
                <w:rFonts w:ascii="Verdana" w:hAnsi="Verdana"/>
                <w:b w:val="0"/>
                <w:sz w:val="16"/>
              </w:rPr>
              <w:t>5</w:t>
            </w:r>
          </w:p>
        </w:tc>
        <w:tc>
          <w:tcPr>
            <w:tcW w:type="dxa" w:w="1514"/>
          </w:tcPr>
          <w:p>
            <w:r/>
            <w:r>
              <w:rPr>
                <w:rFonts w:ascii="Verdana" w:hAnsi="Verdana"/>
                <w:b w:val="0"/>
                <w:sz w:val="16"/>
              </w:rPr>
              <w:t>1200000</w:t>
            </w:r>
          </w:p>
        </w:tc>
        <w:tc>
          <w:tcPr>
            <w:tcW w:type="dxa" w:w="1514"/>
          </w:tcPr>
          <w:p>
            <w:r/>
            <w:r>
              <w:rPr>
                <w:rFonts w:ascii="Verdana" w:hAnsi="Verdana"/>
                <w:b w:val="0"/>
                <w:sz w:val="16"/>
              </w:rPr>
              <w:t>20</w:t>
            </w:r>
          </w:p>
        </w:tc>
        <w:tc>
          <w:tcPr>
            <w:tcW w:type="dxa" w:w="1514"/>
          </w:tcPr>
          <w:p>
            <w:r/>
            <w:r>
              <w:rPr>
                <w:rFonts w:ascii="Verdana" w:hAnsi="Verdana"/>
                <w:b w:val="0"/>
                <w:sz w:val="16"/>
              </w:rPr>
              <w:t>log (m-3)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0 15 011</w:t>
            </w:r>
          </w:p>
        </w:tc>
        <w:tc>
          <w:tcPr>
            <w:tcW w:type="dxa" w:w="1514"/>
          </w:tcPr>
          <w:p>
            <w:r/>
            <w:r>
              <w:rPr>
                <w:rFonts w:ascii="Verdana" w:hAnsi="Verdana"/>
                <w:b w:val="0"/>
                <w:sz w:val="16"/>
              </w:rPr>
              <w:t>Logaritmo10 de la densidad de electrones integrada</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14000</w:t>
            </w:r>
          </w:p>
        </w:tc>
        <w:tc>
          <w:tcPr>
            <w:tcW w:type="dxa" w:w="1514"/>
          </w:tcPr>
          <w:p>
            <w:r/>
            <w:r>
              <w:rPr>
                <w:rFonts w:ascii="Verdana" w:hAnsi="Verdana"/>
                <w:b w:val="0"/>
                <w:sz w:val="16"/>
              </w:rPr>
              <w:t>13</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0 15 012</w:t>
            </w:r>
          </w:p>
        </w:tc>
        <w:tc>
          <w:tcPr>
            <w:tcW w:type="dxa" w:w="1514"/>
          </w:tcPr>
          <w:p>
            <w:r/>
            <w:r>
              <w:rPr>
                <w:rFonts w:ascii="Verdana" w:hAnsi="Verdana"/>
                <w:b w:val="0"/>
                <w:sz w:val="16"/>
              </w:rPr>
              <w:t>Recuento total de electrones por m²</w:t>
            </w:r>
          </w:p>
        </w:tc>
        <w:tc>
          <w:tcPr>
            <w:tcW w:type="dxa" w:w="1514"/>
          </w:tcPr>
          <w:p>
            <w:r/>
            <w:r>
              <w:rPr>
                <w:rFonts w:ascii="Verdana" w:hAnsi="Verdana"/>
                <w:b w:val="0"/>
                <w:sz w:val="16"/>
              </w:rPr>
              <w:t>m²</w:t>
            </w:r>
          </w:p>
        </w:tc>
        <w:tc>
          <w:tcPr>
            <w:tcW w:type="dxa" w:w="1514"/>
          </w:tcPr>
          <w:p>
            <w:r/>
            <w:r>
              <w:rPr>
                <w:rFonts w:ascii="Verdana" w:hAnsi="Verdana"/>
                <w:b w:val="0"/>
                <w:sz w:val="16"/>
              </w:rPr>
              <w:t>-16</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m²</w:t>
            </w:r>
          </w:p>
        </w:tc>
        <w:tc>
          <w:tcPr>
            <w:tcW w:type="dxa" w:w="1514"/>
          </w:tcPr>
          <w:p>
            <w:r/>
            <w:r>
              <w:rPr>
                <w:rFonts w:ascii="Verdana" w:hAnsi="Verdana"/>
                <w:b w:val="0"/>
                <w:sz w:val="16"/>
              </w:rPr>
              <w:t>-16</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0 15 015</w:t>
            </w:r>
          </w:p>
        </w:tc>
        <w:tc>
          <w:tcPr>
            <w:tcW w:type="dxa" w:w="1514"/>
          </w:tcPr>
          <w:p>
            <w:r/>
            <w:r>
              <w:rPr>
                <w:rFonts w:ascii="Verdana" w:hAnsi="Verdana"/>
                <w:b w:val="0"/>
                <w:sz w:val="16"/>
              </w:rPr>
              <w:t>Componente espectral máximo de la imagen antes de la normalización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0 15 020</w:t>
            </w:r>
          </w:p>
        </w:tc>
        <w:tc>
          <w:tcPr>
            <w:tcW w:type="dxa" w:w="1514"/>
          </w:tcPr>
          <w:p>
            <w:r/>
            <w:r>
              <w:rPr>
                <w:rFonts w:ascii="Verdana" w:hAnsi="Verdana"/>
                <w:b w:val="0"/>
                <w:sz w:val="16"/>
              </w:rPr>
              <w:t>Densidad del ozono integrada</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0 15 021</w:t>
            </w:r>
          </w:p>
        </w:tc>
        <w:tc>
          <w:tcPr>
            <w:tcW w:type="dxa" w:w="1514"/>
          </w:tcPr>
          <w:p>
            <w:r/>
            <w:r>
              <w:rPr>
                <w:rFonts w:ascii="Verdana" w:hAnsi="Verdana"/>
                <w:b w:val="0"/>
                <w:sz w:val="16"/>
              </w:rPr>
              <w:t>Densidad de masa integrada</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0 15 024</w:t>
            </w:r>
          </w:p>
        </w:tc>
        <w:tc>
          <w:tcPr>
            <w:tcW w:type="dxa" w:w="1514"/>
          </w:tcPr>
          <w:p>
            <w:r/>
            <w:r>
              <w:rPr>
                <w:rFonts w:ascii="Verdana" w:hAnsi="Verdana"/>
                <w:b w:val="0"/>
                <w:sz w:val="16"/>
              </w:rPr>
              <w:t>Espesor óptico</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0 15 025</w:t>
            </w:r>
          </w:p>
        </w:tc>
        <w:tc>
          <w:tcPr>
            <w:tcW w:type="dxa" w:w="1514"/>
          </w:tcPr>
          <w:p>
            <w:r/>
            <w:r>
              <w:rPr>
                <w:rFonts w:ascii="Verdana" w:hAnsi="Verdana"/>
                <w:b w:val="0"/>
                <w:sz w:val="16"/>
              </w:rPr>
              <w:t>Tipo de contamite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0 15 026</w:t>
            </w:r>
          </w:p>
        </w:tc>
        <w:tc>
          <w:tcPr>
            <w:tcW w:type="dxa" w:w="1514"/>
          </w:tcPr>
          <w:p>
            <w:r/>
            <w:r>
              <w:rPr>
                <w:rFonts w:ascii="Verdana" w:hAnsi="Verdana"/>
                <w:b w:val="0"/>
                <w:sz w:val="16"/>
              </w:rPr>
              <w:t>Concentración del contamite (mol mol-1)</w:t>
            </w:r>
          </w:p>
        </w:tc>
        <w:tc>
          <w:tcPr>
            <w:tcW w:type="dxa" w:w="1514"/>
          </w:tcPr>
          <w:p>
            <w:r/>
            <w:r>
              <w:rPr>
                <w:rFonts w:ascii="Verdana" w:hAnsi="Verdana"/>
                <w:b w:val="0"/>
                <w:sz w:val="16"/>
              </w:rPr>
              <w:t>mol mol-1</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mol mol-1</w:t>
            </w:r>
          </w:p>
        </w:tc>
        <w:tc>
          <w:tcPr>
            <w:tcW w:type="dxa" w:w="1514"/>
          </w:tcPr>
          <w:p>
            <w:r/>
            <w:r>
              <w:rPr>
                <w:rFonts w:ascii="Verdana" w:hAnsi="Verdana"/>
                <w:b w:val="0"/>
                <w:sz w:val="16"/>
              </w:rPr>
              <w:t>9</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0 15 027</w:t>
            </w:r>
          </w:p>
        </w:tc>
        <w:tc>
          <w:tcPr>
            <w:tcW w:type="dxa" w:w="1514"/>
          </w:tcPr>
          <w:p>
            <w:r/>
            <w:r>
              <w:rPr>
                <w:rFonts w:ascii="Verdana" w:hAnsi="Verdana"/>
                <w:b w:val="0"/>
                <w:sz w:val="16"/>
              </w:rPr>
              <w:t>Concentración del contamite (Kg m-3)</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0 15 028</w:t>
            </w:r>
          </w:p>
        </w:tc>
        <w:tc>
          <w:tcPr>
            <w:tcW w:type="dxa" w:w="1514"/>
          </w:tcPr>
          <w:p>
            <w:r/>
            <w:r>
              <w:rPr>
                <w:rFonts w:ascii="Verdana" w:hAnsi="Verdana"/>
                <w:b w:val="0"/>
                <w:sz w:val="16"/>
              </w:rPr>
              <w:t>Fracción molar del componente/contamite atmosférico en el aire seco</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0 15 029</w:t>
            </w:r>
          </w:p>
        </w:tc>
        <w:tc>
          <w:tcPr>
            <w:tcW w:type="dxa" w:w="1514"/>
          </w:tcPr>
          <w:p>
            <w:r/>
            <w:r>
              <w:rPr>
                <w:rFonts w:ascii="Verdana" w:hAnsi="Verdana"/>
                <w:b w:val="0"/>
                <w:sz w:val="16"/>
              </w:rPr>
              <w:t>Coeficiente de extinción</w:t>
            </w:r>
          </w:p>
        </w:tc>
        <w:tc>
          <w:tcPr>
            <w:tcW w:type="dxa" w:w="1514"/>
          </w:tcPr>
          <w:p>
            <w:r/>
            <w:r>
              <w:rPr>
                <w:rFonts w:ascii="Verdana" w:hAnsi="Verdana"/>
                <w:b w:val="0"/>
                <w:sz w:val="16"/>
              </w:rPr>
              <w:t>m-1</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m-1</w:t>
            </w:r>
          </w:p>
        </w:tc>
        <w:tc>
          <w:tcPr>
            <w:tcW w:type="dxa" w:w="1514"/>
          </w:tcPr>
          <w:p>
            <w:r/>
            <w:r>
              <w:rPr>
                <w:rFonts w:ascii="Verdana" w:hAnsi="Verdana"/>
                <w:b w:val="0"/>
                <w:sz w:val="16"/>
              </w:rPr>
              <w:t>9</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0 15 030</w:t>
            </w:r>
          </w:p>
        </w:tc>
        <w:tc>
          <w:tcPr>
            <w:tcW w:type="dxa" w:w="1514"/>
          </w:tcPr>
          <w:p>
            <w:r/>
            <w:r>
              <w:rPr>
                <w:rFonts w:ascii="Verdana" w:hAnsi="Verdana"/>
                <w:b w:val="0"/>
                <w:sz w:val="16"/>
              </w:rPr>
              <w:t>Índice de contaminación por aerosoles</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79: Para este descriptor, los valores inferiores a –1 indican predominancia de aerosoles dispersantes, cuya concentración aumenta a medida que el valor aumenta negativamente. Valores superiores a +1 indican predominancia de aerosoles absorbentes, cuya concentración aumenta a medida que el valor aumenta positivamente. Los valores comprendidos entre –1 y +1 indican nubes o ruido.</w:t>
            </w:r>
          </w:p>
        </w:tc>
      </w:tr>
      <w:tr>
        <w:trPr>
          <w:cantSplit/>
        </w:trPr>
        <w:tc>
          <w:tcPr>
            <w:tcW w:type="dxa" w:w="1514"/>
          </w:tcPr>
          <w:p>
            <w:r/>
            <w:r>
              <w:rPr>
                <w:rFonts w:ascii="Verdana" w:hAnsi="Verdana"/>
                <w:b w:val="0"/>
                <w:sz w:val="16"/>
              </w:rPr>
              <w:t>0 15 031</w:t>
            </w:r>
          </w:p>
        </w:tc>
        <w:tc>
          <w:tcPr>
            <w:tcW w:type="dxa" w:w="1514"/>
          </w:tcPr>
          <w:p>
            <w:r/>
            <w:r>
              <w:rPr>
                <w:rFonts w:ascii="Verdana" w:hAnsi="Verdana"/>
                <w:b w:val="0"/>
                <w:sz w:val="16"/>
              </w:rPr>
              <w:t>Retraso del trayecto atmosférico en la señal del satélite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0 15 032</w:t>
            </w:r>
          </w:p>
        </w:tc>
        <w:tc>
          <w:tcPr>
            <w:tcW w:type="dxa" w:w="1514"/>
          </w:tcPr>
          <w:p>
            <w:r/>
            <w:r>
              <w:rPr>
                <w:rFonts w:ascii="Verdana" w:hAnsi="Verdana"/>
                <w:b w:val="0"/>
                <w:sz w:val="16"/>
              </w:rPr>
              <w:t>Error estimado en un retraso de trayecto atmosférico</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0 15 033</w:t>
            </w:r>
          </w:p>
        </w:tc>
        <w:tc>
          <w:tcPr>
            <w:tcW w:type="dxa" w:w="1514"/>
          </w:tcPr>
          <w:p>
            <w:r/>
            <w:r>
              <w:rPr>
                <w:rFonts w:ascii="Verdana" w:hAnsi="Verdana"/>
                <w:b w:val="0"/>
                <w:sz w:val="16"/>
              </w:rPr>
              <w:t>Diferencia en retrasos de trayecto para visiones del limbo en extremos de la exploración</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0 15 034</w:t>
            </w:r>
          </w:p>
        </w:tc>
        <w:tc>
          <w:tcPr>
            <w:tcW w:type="dxa" w:w="1514"/>
          </w:tcPr>
          <w:p>
            <w:r/>
            <w:r>
              <w:rPr>
                <w:rFonts w:ascii="Verdana" w:hAnsi="Verdana"/>
                <w:b w:val="0"/>
                <w:sz w:val="16"/>
              </w:rPr>
              <w:t>Error estimado en la diferencia de retraso de trayecto</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0 15 035</w:t>
            </w:r>
          </w:p>
        </w:tc>
        <w:tc>
          <w:tcPr>
            <w:tcW w:type="dxa" w:w="1514"/>
          </w:tcPr>
          <w:p>
            <w:r/>
            <w:r>
              <w:rPr>
                <w:rFonts w:ascii="Verdana" w:hAnsi="Verdana"/>
                <w:b w:val="0"/>
                <w:sz w:val="16"/>
              </w:rPr>
              <w:t>Componente del retraso del trayecto cenital debido al vapor de agua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0 15 036</w:t>
            </w:r>
          </w:p>
        </w:tc>
        <w:tc>
          <w:tcPr>
            <w:tcW w:type="dxa" w:w="1514"/>
          </w:tcPr>
          <w:p>
            <w:r/>
            <w:r>
              <w:rPr>
                <w:rFonts w:ascii="Verdana" w:hAnsi="Verdana"/>
                <w:b w:val="0"/>
                <w:sz w:val="16"/>
              </w:rPr>
              <w:t>Refractividad atmosférica</w:t>
            </w:r>
          </w:p>
        </w:tc>
        <w:tc>
          <w:tcPr>
            <w:tcW w:type="dxa" w:w="1514"/>
          </w:tcPr>
          <w:p>
            <w:r/>
            <w:r>
              <w:rPr>
                <w:rFonts w:ascii="Verdana" w:hAnsi="Verdana"/>
                <w:b w:val="0"/>
                <w:sz w:val="16"/>
              </w:rPr>
              <w:t>Unidades N</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Unidades N</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t>Note 142: La refractividad, N, está relacionada con el índice de refracción n mediante la fórmula N = 106 (n - 1). Por consiguiente, N carece de dimensiones, pero los valores calculados mediante la fórmula se expresan convencionalmente en “unidades N”.</w:t>
            </w:r>
          </w:p>
        </w:tc>
      </w:tr>
      <w:tr>
        <w:trPr>
          <w:cantSplit/>
        </w:trPr>
        <w:tc>
          <w:tcPr>
            <w:tcW w:type="dxa" w:w="1514"/>
          </w:tcPr>
          <w:p>
            <w:r/>
            <w:r>
              <w:rPr>
                <w:rFonts w:ascii="Verdana" w:hAnsi="Verdana"/>
                <w:b w:val="0"/>
                <w:sz w:val="16"/>
              </w:rPr>
              <w:t>0 15 037</w:t>
            </w:r>
          </w:p>
        </w:tc>
        <w:tc>
          <w:tcPr>
            <w:tcW w:type="dxa" w:w="1514"/>
          </w:tcPr>
          <w:p>
            <w:r/>
            <w:r>
              <w:rPr>
                <w:rFonts w:ascii="Verdana" w:hAnsi="Verdana"/>
                <w:b w:val="0"/>
                <w:sz w:val="16"/>
              </w:rPr>
              <w:t>Ángulo de curvatura</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-100000</w:t>
            </w:r>
          </w:p>
        </w:tc>
        <w:tc>
          <w:tcPr>
            <w:tcW w:type="dxa" w:w="1514"/>
          </w:tcPr>
          <w:p>
            <w:r/>
            <w:r>
              <w:rPr>
                <w:rFonts w:ascii="Verdana" w:hAnsi="Verdana"/>
                <w:b w:val="0"/>
                <w:sz w:val="16"/>
              </w:rPr>
              <w:t>23</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0 15 038</w:t>
            </w:r>
          </w:p>
        </w:tc>
        <w:tc>
          <w:tcPr>
            <w:tcW w:type="dxa" w:w="1514"/>
          </w:tcPr>
          <w:p>
            <w:r/>
            <w:r>
              <w:rPr>
                <w:rFonts w:ascii="Verdana" w:hAnsi="Verdana"/>
                <w:b w:val="0"/>
                <w:sz w:val="16"/>
              </w:rPr>
              <w:t>Retraso del trayecto debido a una atmósfera neutra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11</w:t>
            </w:r>
          </w:p>
        </w:tc>
        <w:tc>
          <w:tcPr>
            <w:tcW w:type="dxa" w:w="1514"/>
          </w:tcPr>
          <w:p>
            <w:r/>
            <w:r>
              <w:rPr>
                <w:rFonts w:ascii="Verdana" w:hAnsi="Verdana"/>
                <w:b w:val="0"/>
                <w:sz w:val="16"/>
              </w:rPr>
              <w:t>Note 4: Se necesitan algunos descriptores más para reducir el volumen de trabajo con respecto a la base de datos de la estación, por ejemplo para la identificación del estado federal y la identificación de autopista.</w:t>
            </w:r>
          </w:p>
        </w:tc>
      </w:tr>
      <w:tr>
        <w:trPr>
          <w:cantSplit/>
        </w:trPr>
        <w:tc>
          <w:tcPr>
            <w:tcW w:type="dxa" w:w="1514"/>
          </w:tcPr>
          <w:p>
            <w:r/>
            <w:r>
              <w:rPr>
                <w:rFonts w:ascii="Verdana" w:hAnsi="Verdana"/>
                <w:b w:val="0"/>
                <w:sz w:val="16"/>
              </w:rPr>
              <w:t>0 15 039</w:t>
            </w:r>
          </w:p>
        </w:tc>
        <w:tc>
          <w:tcPr>
            <w:tcW w:type="dxa" w:w="1514"/>
          </w:tcPr>
          <w:p>
            <w:r/>
            <w:r>
              <w:rPr>
                <w:rFonts w:ascii="Verdana" w:hAnsi="Verdana"/>
                <w:b w:val="0"/>
                <w:sz w:val="16"/>
              </w:rPr>
              <w:t>Error estimado en el retraso del trayecto atmosférico en una atmósfera neutra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0 15 041</w:t>
            </w:r>
          </w:p>
        </w:tc>
        <w:tc>
          <w:tcPr>
            <w:tcW w:type="dxa" w:w="1514"/>
          </w:tcPr>
          <w:p>
            <w:r/>
            <w:r>
              <w:rPr>
                <w:rFonts w:ascii="Verdana" w:hAnsi="Verdana"/>
                <w:b w:val="0"/>
                <w:sz w:val="16"/>
              </w:rPr>
              <w:t>Índice de dióxido de azufre</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-1200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78: En la AR IV se notifica la temperatura máxima a las 1200 UTC para el día civil anterior (es decir, la hora final del período no es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1514"/>
          </w:tcPr>
          <w:p>
            <w:r/>
            <w:r>
              <w:rPr>
                <w:rFonts w:ascii="Verdana" w:hAnsi="Verdana"/>
                <w:b w:val="0"/>
                <w:sz w:val="16"/>
              </w:rPr>
              <w:t>0 15 042</w:t>
            </w:r>
          </w:p>
        </w:tc>
        <w:tc>
          <w:tcPr>
            <w:tcW w:type="dxa" w:w="1514"/>
          </w:tcPr>
          <w:p>
            <w:r/>
            <w:r>
              <w:rPr>
                <w:rFonts w:ascii="Verdana" w:hAnsi="Verdana"/>
                <w:b w:val="0"/>
                <w:sz w:val="16"/>
              </w:rPr>
              <w:t>Reflectancia</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0 15 045</w:t>
            </w:r>
          </w:p>
        </w:tc>
        <w:tc>
          <w:tcPr>
            <w:tcW w:type="dxa" w:w="1514"/>
          </w:tcPr>
          <w:p>
            <w:r/>
            <w:r>
              <w:rPr>
                <w:rFonts w:ascii="Verdana" w:hAnsi="Verdana"/>
                <w:b w:val="0"/>
                <w:sz w:val="16"/>
              </w:rPr>
              <w:t>Dióxido de azufre</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-2000</w:t>
            </w:r>
          </w:p>
        </w:tc>
        <w:tc>
          <w:tcPr>
            <w:tcW w:type="dxa" w:w="1514"/>
          </w:tcPr>
          <w:p>
            <w:r/>
            <w:r>
              <w:rPr>
                <w:rFonts w:ascii="Verdana" w:hAnsi="Verdana"/>
                <w:b w:val="0"/>
                <w:sz w:val="16"/>
              </w:rPr>
              <w:t>15</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1514"/>
          </w:tcPr>
          <w:p>
            <w:r/>
            <w:r>
              <w:rPr>
                <w:rFonts w:ascii="Verdana" w:hAnsi="Verdana"/>
                <w:b w:val="0"/>
                <w:sz w:val="16"/>
              </w:rPr>
              <w:t>0 15 046</w:t>
            </w:r>
          </w:p>
        </w:tc>
        <w:tc>
          <w:tcPr>
            <w:tcW w:type="dxa" w:w="1514"/>
          </w:tcPr>
          <w:p>
            <w:r/>
            <w:r>
              <w:rPr>
                <w:rFonts w:ascii="Verdana" w:hAnsi="Verdana"/>
                <w:b w:val="0"/>
                <w:sz w:val="16"/>
              </w:rPr>
              <w:t>Índice de contaminación por volcanes</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80: Para este descriptor, las unidades representan la desviación climatológica estándar del valor del ozono troposférico para una latitud determinada. Por valor de 5,0 indica un perfil con un valor del ozono troposférico de 5,0 respecto de la desviación estándar superior al promedio climatológico. ejemplo, un</w:t>
            </w:r>
          </w:p>
        </w:tc>
      </w:tr>
      <w:tr>
        <w:trPr>
          <w:cantSplit/>
        </w:trPr>
        <w:tc>
          <w:tcPr>
            <w:tcW w:type="dxa" w:w="1514"/>
          </w:tcPr>
          <w:p>
            <w:r/>
            <w:r>
              <w:rPr>
                <w:rFonts w:ascii="Verdana" w:hAnsi="Verdana"/>
                <w:b w:val="0"/>
                <w:sz w:val="16"/>
              </w:rPr>
              <w:t>0 15 049</w:t>
            </w:r>
          </w:p>
        </w:tc>
        <w:tc>
          <w:tcPr>
            <w:tcW w:type="dxa" w:w="1514"/>
          </w:tcPr>
          <w:p>
            <w:r/>
            <w:r>
              <w:rPr>
                <w:rFonts w:ascii="Verdana" w:hAnsi="Verdana"/>
                <w:b w:val="0"/>
                <w:sz w:val="16"/>
              </w:rPr>
              <w:t>Exponente de Angstrom de longitud de onda para aerosoles</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0 15 051</w:t>
            </w:r>
          </w:p>
        </w:tc>
        <w:tc>
          <w:tcPr>
            <w:tcW w:type="dxa" w:w="1514"/>
          </w:tcPr>
          <w:p>
            <w:r/>
            <w:r>
              <w:rPr>
                <w:rFonts w:ascii="Verdana" w:hAnsi="Verdana"/>
                <w:b w:val="0"/>
                <w:sz w:val="16"/>
              </w:rPr>
              <w:t>Alcance óptico meteorológico</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0 15 052</w:t>
            </w:r>
          </w:p>
        </w:tc>
        <w:tc>
          <w:tcPr>
            <w:tcW w:type="dxa" w:w="1514"/>
          </w:tcPr>
          <w:p>
            <w:r/>
            <w:r>
              <w:rPr>
                <w:rFonts w:ascii="Verdana" w:hAnsi="Verdana"/>
                <w:b w:val="0"/>
                <w:sz w:val="16"/>
              </w:rPr>
              <w:t>Log10 de la densidad numérica de partículas de aerosol con un diámetro superior a 5 nm</w:t>
            </w:r>
          </w:p>
        </w:tc>
        <w:tc>
          <w:tcPr>
            <w:tcW w:type="dxa" w:w="1514"/>
          </w:tcPr>
          <w:p>
            <w:r/>
            <w:r>
              <w:rPr>
                <w:rFonts w:ascii="Verdana" w:hAnsi="Verdana"/>
                <w:b w:val="0"/>
                <w:sz w:val="16"/>
              </w:rPr>
              <w:t>log(m-³)</w:t>
            </w:r>
          </w:p>
        </w:tc>
        <w:tc>
          <w:tcPr>
            <w:tcW w:type="dxa" w:w="1514"/>
          </w:tcPr>
          <w:p>
            <w:r/>
            <w:r>
              <w:rPr>
                <w:rFonts w:ascii="Verdana" w:hAnsi="Verdana"/>
                <w:b w:val="0"/>
                <w:sz w:val="16"/>
              </w:rPr>
              <w:t>1</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log(m-³)</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0 15 053</w:t>
            </w:r>
          </w:p>
        </w:tc>
        <w:tc>
          <w:tcPr>
            <w:tcW w:type="dxa" w:w="1514"/>
          </w:tcPr>
          <w:p>
            <w:r/>
            <w:r>
              <w:rPr>
                <w:rFonts w:ascii="Verdana" w:hAnsi="Verdana"/>
                <w:b w:val="0"/>
                <w:sz w:val="16"/>
              </w:rPr>
              <w:t>Log10 de la densidad numérica de partículas de aerosol con un diámetro superior a 14 nm</w:t>
            </w:r>
          </w:p>
        </w:tc>
        <w:tc>
          <w:tcPr>
            <w:tcW w:type="dxa" w:w="1514"/>
          </w:tcPr>
          <w:p>
            <w:r/>
            <w:r>
              <w:rPr>
                <w:rFonts w:ascii="Verdana" w:hAnsi="Verdana"/>
                <w:b w:val="0"/>
                <w:sz w:val="16"/>
              </w:rPr>
              <w:t>log(m-³)</w:t>
            </w:r>
          </w:p>
        </w:tc>
        <w:tc>
          <w:tcPr>
            <w:tcW w:type="dxa" w:w="1514"/>
          </w:tcPr>
          <w:p>
            <w:r/>
            <w:r>
              <w:rPr>
                <w:rFonts w:ascii="Verdana" w:hAnsi="Verdana"/>
                <w:b w:val="0"/>
                <w:sz w:val="16"/>
              </w:rPr>
              <w:t>2</w:t>
            </w:r>
          </w:p>
        </w:tc>
        <w:tc>
          <w:tcPr>
            <w:tcW w:type="dxa" w:w="1514"/>
          </w:tcPr>
          <w:p>
            <w:r/>
            <w:r>
              <w:rPr>
                <w:rFonts w:ascii="Verdana" w:hAnsi="Verdana"/>
                <w:b w:val="0"/>
                <w:sz w:val="16"/>
              </w:rPr>
              <w:t>600</w:t>
            </w:r>
          </w:p>
        </w:tc>
        <w:tc>
          <w:tcPr>
            <w:tcW w:type="dxa" w:w="1514"/>
          </w:tcPr>
          <w:p>
            <w:r/>
            <w:r>
              <w:rPr>
                <w:rFonts w:ascii="Verdana" w:hAnsi="Verdana"/>
                <w:b w:val="0"/>
                <w:sz w:val="16"/>
              </w:rPr>
              <w:t>9</w:t>
            </w:r>
          </w:p>
        </w:tc>
        <w:tc>
          <w:tcPr>
            <w:tcW w:type="dxa" w:w="1514"/>
          </w:tcPr>
          <w:p>
            <w:r/>
            <w:r>
              <w:rPr>
                <w:rFonts w:ascii="Verdana" w:hAnsi="Verdana"/>
                <w:b w:val="0"/>
                <w:sz w:val="16"/>
              </w:rPr>
              <w:t>log(m-³)</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0 15 054</w:t>
            </w:r>
          </w:p>
        </w:tc>
        <w:tc>
          <w:tcPr>
            <w:tcW w:type="dxa" w:w="1514"/>
          </w:tcPr>
          <w:p>
            <w:r/>
            <w:r>
              <w:rPr>
                <w:rFonts w:ascii="Verdana" w:hAnsi="Verdana"/>
                <w:b w:val="0"/>
                <w:sz w:val="16"/>
              </w:rPr>
              <w:t>Log10 de la densidad numérica de partículas de aerosol con un diámetro comprendido entre 0,25 y 2,5 μm</w:t>
            </w:r>
          </w:p>
        </w:tc>
        <w:tc>
          <w:tcPr>
            <w:tcW w:type="dxa" w:w="1514"/>
          </w:tcPr>
          <w:p>
            <w:r/>
            <w:r>
              <w:rPr>
                <w:rFonts w:ascii="Verdana" w:hAnsi="Verdana"/>
                <w:b w:val="0"/>
                <w:sz w:val="16"/>
              </w:rPr>
              <w:t>log(m-³)</w:t>
            </w:r>
          </w:p>
        </w:tc>
        <w:tc>
          <w:tcPr>
            <w:tcW w:type="dxa" w:w="1514"/>
          </w:tcPr>
          <w:p>
            <w:r/>
            <w:r>
              <w:rPr>
                <w:rFonts w:ascii="Verdana" w:hAnsi="Verdana"/>
                <w:b w:val="0"/>
                <w:sz w:val="16"/>
              </w:rPr>
              <w:t>2</w:t>
            </w:r>
          </w:p>
        </w:tc>
        <w:tc>
          <w:tcPr>
            <w:tcW w:type="dxa" w:w="1514"/>
          </w:tcPr>
          <w:p>
            <w:r/>
            <w:r>
              <w:rPr>
                <w:rFonts w:ascii="Verdana" w:hAnsi="Verdana"/>
                <w:b w:val="0"/>
                <w:sz w:val="16"/>
              </w:rPr>
              <w:t>550</w:t>
            </w:r>
          </w:p>
        </w:tc>
        <w:tc>
          <w:tcPr>
            <w:tcW w:type="dxa" w:w="1514"/>
          </w:tcPr>
          <w:p>
            <w:r/>
            <w:r>
              <w:rPr>
                <w:rFonts w:ascii="Verdana" w:hAnsi="Verdana"/>
                <w:b w:val="0"/>
                <w:sz w:val="16"/>
              </w:rPr>
              <w:t>9</w:t>
            </w:r>
          </w:p>
        </w:tc>
        <w:tc>
          <w:tcPr>
            <w:tcW w:type="dxa" w:w="1514"/>
          </w:tcPr>
          <w:p>
            <w:r/>
            <w:r>
              <w:rPr>
                <w:rFonts w:ascii="Verdana" w:hAnsi="Verdana"/>
                <w:b w:val="0"/>
                <w:sz w:val="16"/>
              </w:rPr>
              <w:t>log(m-³)</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0 15 055</w:t>
            </w:r>
          </w:p>
        </w:tc>
        <w:tc>
          <w:tcPr>
            <w:tcW w:type="dxa" w:w="1514"/>
          </w:tcPr>
          <w:p>
            <w:r/>
            <w:r>
              <w:rPr>
                <w:rFonts w:ascii="Verdana" w:hAnsi="Verdana"/>
                <w:b w:val="0"/>
                <w:sz w:val="16"/>
              </w:rPr>
              <w:t>Proporción de aerosoles no volátiles</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0 15 062</w:t>
            </w:r>
          </w:p>
        </w:tc>
        <w:tc>
          <w:tcPr>
            <w:tcW w:type="dxa" w:w="1514"/>
          </w:tcPr>
          <w:p>
            <w:r/>
            <w:r>
              <w:rPr>
                <w:rFonts w:ascii="Verdana" w:hAnsi="Verdana"/>
                <w:b w:val="0"/>
                <w:sz w:val="16"/>
              </w:rPr>
              <w:t>Espesor óptico de los aerosoles</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0 15 063</w:t>
            </w:r>
          </w:p>
        </w:tc>
        <w:tc>
          <w:tcPr>
            <w:tcW w:type="dxa" w:w="1514"/>
          </w:tcPr>
          <w:p>
            <w:r/>
            <w:r>
              <w:rPr>
                <w:rFonts w:ascii="Verdana" w:hAnsi="Verdana"/>
                <w:b w:val="0"/>
                <w:sz w:val="16"/>
              </w:rPr>
              <w:t>Retrodispersión atenuada</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0 15 064</w:t>
            </w:r>
          </w:p>
        </w:tc>
        <w:tc>
          <w:tcPr>
            <w:tcW w:type="dxa" w:w="1514"/>
          </w:tcPr>
          <w:p>
            <w:r/>
            <w:r>
              <w:rPr>
                <w:rFonts w:ascii="Verdana" w:hAnsi="Verdana"/>
                <w:b w:val="0"/>
                <w:sz w:val="16"/>
              </w:rPr>
              <w:t>Incertidumbre en la retrodispersión atenuada</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0 15 065</w:t>
            </w:r>
          </w:p>
        </w:tc>
        <w:tc>
          <w:tcPr>
            <w:tcW w:type="dxa" w:w="1514"/>
          </w:tcPr>
          <w:p>
            <w:r/>
            <w:r>
              <w:rPr>
                <w:rFonts w:ascii="Verdana" w:hAnsi="Verdana"/>
                <w:b w:val="0"/>
                <w:sz w:val="16"/>
              </w:rPr>
              <w:t>Coeficiente de retrodispersión de las partículas</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0 15 066</w:t>
            </w:r>
          </w:p>
        </w:tc>
        <w:tc>
          <w:tcPr>
            <w:tcW w:type="dxa" w:w="1514"/>
          </w:tcPr>
          <w:p>
            <w:r/>
            <w:r>
              <w:rPr>
                <w:rFonts w:ascii="Verdana" w:hAnsi="Verdana"/>
                <w:b w:val="0"/>
                <w:sz w:val="16"/>
              </w:rPr>
              <w:t>Incertidumbre en el coeficiente de retrodispersión de las partículas</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0 15 067</w:t>
            </w:r>
          </w:p>
        </w:tc>
        <w:tc>
          <w:tcPr>
            <w:tcW w:type="dxa" w:w="1514"/>
          </w:tcPr>
          <w:p>
            <w:r/>
            <w:r>
              <w:rPr>
                <w:rFonts w:ascii="Verdana" w:hAnsi="Verdana"/>
                <w:b w:val="0"/>
                <w:sz w:val="16"/>
              </w:rPr>
              <w:t>Coeficiente de extinción de las partículas</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0 15 068</w:t>
            </w:r>
          </w:p>
        </w:tc>
        <w:tc>
          <w:tcPr>
            <w:tcW w:type="dxa" w:w="1514"/>
          </w:tcPr>
          <w:p>
            <w:r/>
            <w:r>
              <w:rPr>
                <w:rFonts w:ascii="Verdana" w:hAnsi="Verdana"/>
                <w:b w:val="0"/>
                <w:sz w:val="16"/>
              </w:rPr>
              <w:t>Incertidumbre en el coeficiente de extinción de las partículas</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0 15 069</w:t>
            </w:r>
          </w:p>
        </w:tc>
        <w:tc>
          <w:tcPr>
            <w:tcW w:type="dxa" w:w="1514"/>
          </w:tcPr>
          <w:p>
            <w:r/>
            <w:r>
              <w:rPr>
                <w:rFonts w:ascii="Verdana" w:hAnsi="Verdana"/>
                <w:b w:val="0"/>
                <w:sz w:val="16"/>
              </w:rPr>
              <w:t>Ratio lidar partículas</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0 15 070</w:t>
            </w:r>
          </w:p>
        </w:tc>
        <w:tc>
          <w:tcPr>
            <w:tcW w:type="dxa" w:w="1514"/>
          </w:tcPr>
          <w:p>
            <w:r/>
            <w:r>
              <w:rPr>
                <w:rFonts w:ascii="Verdana" w:hAnsi="Verdana"/>
                <w:b w:val="0"/>
                <w:sz w:val="16"/>
              </w:rPr>
              <w:t>Incertidumbre en el ratio lidar</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0 15 071</w:t>
            </w:r>
          </w:p>
        </w:tc>
        <w:tc>
          <w:tcPr>
            <w:tcW w:type="dxa" w:w="1514"/>
          </w:tcPr>
          <w:p>
            <w:r/>
            <w:r>
              <w:rPr>
                <w:rFonts w:ascii="Verdana" w:hAnsi="Verdana"/>
                <w:b w:val="0"/>
                <w:sz w:val="16"/>
              </w:rPr>
              <w:t>Ratio de despolarización de las partículas</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0 15 072</w:t>
            </w:r>
          </w:p>
        </w:tc>
        <w:tc>
          <w:tcPr>
            <w:tcW w:type="dxa" w:w="1514"/>
          </w:tcPr>
          <w:p>
            <w:r/>
            <w:r>
              <w:rPr>
                <w:rFonts w:ascii="Verdana" w:hAnsi="Verdana"/>
                <w:b w:val="0"/>
                <w:sz w:val="16"/>
              </w:rPr>
              <w:t>Incertidumbre en el ratio de despolarización de las partículas</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0 15 073</w:t>
            </w:r>
          </w:p>
        </w:tc>
        <w:tc>
          <w:tcPr>
            <w:tcW w:type="dxa" w:w="1514"/>
          </w:tcPr>
          <w:p>
            <w:r/>
            <w:r>
              <w:rPr>
                <w:rFonts w:ascii="Verdana" w:hAnsi="Verdana"/>
                <w:b w:val="0"/>
                <w:sz w:val="16"/>
              </w:rPr>
              <w:t>Retrodispersión atenuada</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0 15 074</w:t>
            </w:r>
          </w:p>
        </w:tc>
        <w:tc>
          <w:tcPr>
            <w:tcW w:type="dxa" w:w="1514"/>
          </w:tcPr>
          <w:p>
            <w:r/>
            <w:r>
              <w:rPr>
                <w:rFonts w:ascii="Verdana" w:hAnsi="Verdana"/>
                <w:b w:val="0"/>
                <w:sz w:val="16"/>
              </w:rPr>
              <w:t>Coeficiente de retrodispersión de las partículas</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0 15 075</w:t>
            </w:r>
          </w:p>
        </w:tc>
        <w:tc>
          <w:tcPr>
            <w:tcW w:type="dxa" w:w="1514"/>
          </w:tcPr>
          <w:p>
            <w:r/>
            <w:r>
              <w:rPr>
                <w:rFonts w:ascii="Verdana" w:hAnsi="Verdana"/>
                <w:b w:val="0"/>
                <w:sz w:val="16"/>
              </w:rPr>
              <w:t>Coeficiente de extinción de las partículas</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-524288</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0 15 076</w:t>
            </w:r>
          </w:p>
        </w:tc>
        <w:tc>
          <w:tcPr>
            <w:tcW w:type="dxa" w:w="1514"/>
          </w:tcPr>
          <w:p>
            <w:r/>
            <w:r>
              <w:rPr>
                <w:rFonts w:ascii="Verdana" w:hAnsi="Verdana"/>
                <w:b w:val="0"/>
                <w:sz w:val="16"/>
              </w:rPr>
              <w:t>Ratio partículas lidar</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-2048</w:t>
            </w:r>
          </w:p>
        </w:tc>
        <w:tc>
          <w:tcPr>
            <w:tcW w:type="dxa" w:w="1514"/>
          </w:tcPr>
          <w:p>
            <w:r/>
            <w:r>
              <w:rPr>
                <w:rFonts w:ascii="Verdana" w:hAnsi="Verdana"/>
                <w:b w:val="0"/>
                <w:sz w:val="16"/>
              </w:rPr>
              <w:t>13</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0 15 077</w:t>
            </w:r>
          </w:p>
        </w:tc>
        <w:tc>
          <w:tcPr>
            <w:tcW w:type="dxa" w:w="1514"/>
          </w:tcPr>
          <w:p>
            <w:r/>
            <w:r>
              <w:rPr>
                <w:rFonts w:ascii="Verdana" w:hAnsi="Verdana"/>
                <w:b w:val="0"/>
                <w:sz w:val="16"/>
              </w:rPr>
              <w:t>Incertidumbre en el ratio lidar</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sr</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0 15 078</w:t>
            </w:r>
          </w:p>
        </w:tc>
        <w:tc>
          <w:tcPr>
            <w:tcW w:type="dxa" w:w="1514"/>
          </w:tcPr>
          <w:p>
            <w:r/>
            <w:r>
              <w:rPr>
                <w:rFonts w:ascii="Verdana" w:hAnsi="Verdana"/>
                <w:b w:val="0"/>
                <w:sz w:val="16"/>
              </w:rPr>
              <w:t>Ratio de despolarización de las partículas</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-8192</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0 15 079</w:t>
            </w:r>
          </w:p>
        </w:tc>
        <w:tc>
          <w:tcPr>
            <w:tcW w:type="dxa" w:w="1514"/>
          </w:tcPr>
          <w:p>
            <w:r/>
            <w:r>
              <w:rPr>
                <w:rFonts w:ascii="Verdana" w:hAnsi="Verdana"/>
                <w:b w:val="0"/>
                <w:sz w:val="16"/>
              </w:rPr>
              <w:t>Retraso del trayecto cenital debido a una atmósfera neutra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1514"/>
          </w:tcPr>
          <w:p>
            <w:r/>
            <w:r>
              <w:rPr>
                <w:rFonts w:ascii="Verdana" w:hAnsi="Verdana"/>
                <w:b w:val="0"/>
                <w:sz w:val="16"/>
              </w:rPr>
              <w:t>0 15 080</w:t>
            </w:r>
          </w:p>
        </w:tc>
        <w:tc>
          <w:tcPr>
            <w:tcW w:type="dxa" w:w="1514"/>
          </w:tcPr>
          <w:p>
            <w:r/>
            <w:r>
              <w:rPr>
                <w:rFonts w:ascii="Verdana" w:hAnsi="Verdana"/>
                <w:b w:val="0"/>
                <w:sz w:val="16"/>
              </w:rPr>
              <w:t>Error estimado en el retraso del trayecto cenital debido a una atmósfera neutra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0 15 081</w:t>
            </w:r>
          </w:p>
        </w:tc>
        <w:tc>
          <w:tcPr>
            <w:tcW w:type="dxa" w:w="1514"/>
          </w:tcPr>
          <w:p>
            <w:r/>
            <w:r>
              <w:rPr>
                <w:rFonts w:ascii="Verdana" w:hAnsi="Verdana"/>
                <w:b w:val="0"/>
                <w:sz w:val="16"/>
              </w:rPr>
              <w:t>Retraso del trayecto húmedo debido a una atmósfera neutra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w:t>
            </w:r>
          </w:p>
        </w:tc>
        <w:tc>
          <w:tcPr>
            <w:tcW w:type="dxa" w:w="1514"/>
          </w:tcPr>
          <w:p>
            <w:r/>
            <w:r>
              <w:rPr>
                <w:rFonts w:ascii="Verdana" w:hAnsi="Verdana"/>
                <w:b w:val="0"/>
                <w:sz w:val="16"/>
              </w:rPr>
              <w:t>Note 6: Valores de las tablas de cifrado : FRQ = cifra de clave 8 (8 octas) : OCNL EMBD : ISOL = cifra de clave 6 (6 octas) = cifra de clave 2 (2 octas) cuando se trata de un cumulonimbus</w:t>
            </w:r>
          </w:p>
        </w:tc>
      </w:tr>
      <w:tr>
        <w:trPr>
          <w:cantSplit/>
        </w:trPr>
        <w:tc>
          <w:tcPr>
            <w:tcW w:type="dxa" w:w="1514"/>
          </w:tcPr>
          <w:p>
            <w:r/>
            <w:r>
              <w:rPr>
                <w:rFonts w:ascii="Verdana" w:hAnsi="Verdana"/>
                <w:b w:val="0"/>
                <w:sz w:val="16"/>
              </w:rPr>
              <w:t>0 15 082</w:t>
            </w:r>
          </w:p>
        </w:tc>
        <w:tc>
          <w:tcPr>
            <w:tcW w:type="dxa" w:w="1514"/>
          </w:tcPr>
          <w:p>
            <w:r/>
            <w:r>
              <w:rPr>
                <w:rFonts w:ascii="Verdana" w:hAnsi="Verdana"/>
                <w:b w:val="0"/>
                <w:sz w:val="16"/>
              </w:rPr>
              <w:t>Vapor de agua integrado en el trayecto</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10</w:t>
            </w:r>
          </w:p>
        </w:tc>
        <w:tc>
          <w:tcPr>
            <w:tcW w:type="dxa" w:w="1514"/>
          </w:tcPr>
          <w:p>
            <w:r/>
            <w:r>
              <w:rPr>
                <w:rFonts w:ascii="Verdana" w:hAnsi="Verdana"/>
                <w:b w:val="0"/>
                <w:sz w:val="16"/>
              </w:rPr>
              <w:t>Note 16: La identificación de la hora se refiere al comienzo del período de un mes.</w:t>
            </w:r>
          </w:p>
        </w:tc>
      </w:tr>
      <w:tr>
        <w:trPr>
          <w:cantSplit/>
        </w:trPr>
        <w:tc>
          <w:tcPr>
            <w:tcW w:type="dxa" w:w="1514"/>
          </w:tcPr>
          <w:p>
            <w:r/>
            <w:r>
              <w:rPr>
                <w:rFonts w:ascii="Verdana" w:hAnsi="Verdana"/>
                <w:b w:val="0"/>
                <w:sz w:val="16"/>
              </w:rPr>
              <w:t>0 15 083</w:t>
            </w:r>
          </w:p>
        </w:tc>
        <w:tc>
          <w:tcPr>
            <w:tcW w:type="dxa" w:w="1514"/>
          </w:tcPr>
          <w:p>
            <w:r/>
            <w:r>
              <w:rPr>
                <w:rFonts w:ascii="Verdana" w:hAnsi="Verdana"/>
                <w:b w:val="0"/>
                <w:sz w:val="16"/>
              </w:rPr>
              <w:t>Gradiente en atmósfera neutra estimado a través del GNSS</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-8192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9</w:t>
            </w:r>
          </w:p>
        </w:tc>
        <w:tc>
          <w:tcPr>
            <w:tcW w:type="dxa" w:w="1514"/>
          </w:tcPr>
          <w:p>
            <w:r/>
            <w:r>
              <w:rPr>
                <w:rFonts w:ascii="Verdana" w:hAnsi="Verdana"/>
                <w:b w:val="0"/>
                <w:sz w:val="16"/>
              </w:rPr>
              <w:t>Note 7: Los mensajes BUFR compuestos pueden describirse dentro de la Sección de descripción de datos, según corresponda (por ejemplo: 3 01 041, 3 04 001, 3 04 002, 3 04 003, 3 04 004, 3 04 005, 3 04 006).</w:t>
            </w:r>
          </w:p>
        </w:tc>
      </w:tr>
      <w:tr>
        <w:trPr>
          <w:cantSplit/>
        </w:trPr>
        <w:tc>
          <w:tcPr>
            <w:tcW w:type="dxa" w:w="1514"/>
          </w:tcPr>
          <w:p>
            <w:r/>
            <w:r>
              <w:rPr>
                <w:rFonts w:ascii="Verdana" w:hAnsi="Verdana"/>
                <w:b w:val="0"/>
                <w:sz w:val="16"/>
              </w:rPr>
              <w:t>0 15 084</w:t>
            </w:r>
          </w:p>
        </w:tc>
        <w:tc>
          <w:tcPr>
            <w:tcW w:type="dxa" w:w="1514"/>
          </w:tcPr>
          <w:p>
            <w:r/>
            <w:r>
              <w:rPr>
                <w:rFonts w:ascii="Verdana" w:hAnsi="Verdana"/>
                <w:b w:val="0"/>
                <w:sz w:val="16"/>
              </w:rPr>
              <w:t>Residuos de mínimos cuadrados en el GNSS</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17: En cada posición de los sensores de la carretera se mide: – la temperatura de la superficie de la carretera; – la temperatura de la subsuperficie de la carretera; – el espesor de la lámina de agua; – la condición de la superficie de la carretera.</w:t>
            </w:r>
          </w:p>
        </w:tc>
      </w:tr>
      <w:tr>
        <w:trPr>
          <w:cantSplit/>
        </w:trPr>
        <w:tc>
          <w:tcPr>
            <w:tcW w:type="dxa" w:w="1514"/>
          </w:tcPr>
          <w:p>
            <w:r/>
            <w:r>
              <w:rPr>
                <w:rFonts w:ascii="Verdana" w:hAnsi="Verdana"/>
                <w:b w:val="0"/>
                <w:sz w:val="16"/>
              </w:rPr>
              <w:t>0 15 085</w:t>
            </w:r>
          </w:p>
        </w:tc>
        <w:tc>
          <w:tcPr>
            <w:tcW w:type="dxa" w:w="1514"/>
          </w:tcPr>
          <w:p>
            <w:r/>
            <w:r>
              <w:rPr>
                <w:rFonts w:ascii="Verdana" w:hAnsi="Verdana"/>
                <w:b w:val="0"/>
                <w:sz w:val="16"/>
              </w:rPr>
              <w:t>Retraso por efectos multitrayecto en el GNSS</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8: Los datos representados por esta secuencia deben ordenarse en orden descendiente respecto de la presión.</w:t>
            </w:r>
          </w:p>
        </w:tc>
      </w:tr>
      <w:tr>
        <w:trPr>
          <w:cantSplit/>
        </w:trPr>
        <w:tc>
          <w:tcPr>
            <w:tcW w:type="dxa" w:w="1514"/>
          </w:tcPr>
          <w:p>
            <w:r/>
            <w:r>
              <w:rPr>
                <w:rFonts w:ascii="Verdana" w:hAnsi="Verdana"/>
                <w:b w:val="0"/>
                <w:sz w:val="16"/>
              </w:rPr>
              <w:t>0 15 086</w:t>
            </w:r>
          </w:p>
        </w:tc>
        <w:tc>
          <w:tcPr>
            <w:tcW w:type="dxa" w:w="1514"/>
          </w:tcPr>
          <w:p>
            <w:r/>
            <w:r>
              <w:rPr>
                <w:rFonts w:ascii="Verdana" w:hAnsi="Verdana"/>
                <w:b w:val="0"/>
                <w:sz w:val="16"/>
              </w:rPr>
              <w:t>Función de mapeo hidrostático del GNSS</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r/>
            <w:r>
              <w:rPr>
                <w:rFonts w:ascii="Verdana" w:hAnsi="Verdana"/>
                <w:b w:val="0"/>
                <w:sz w:val="16"/>
              </w:rPr>
              <w:t>0 15 087</w:t>
            </w:r>
          </w:p>
        </w:tc>
        <w:tc>
          <w:tcPr>
            <w:tcW w:type="dxa" w:w="1514"/>
          </w:tcPr>
          <w:p>
            <w:r/>
            <w:r>
              <w:rPr>
                <w:rFonts w:ascii="Verdana" w:hAnsi="Verdana"/>
                <w:b w:val="0"/>
                <w:sz w:val="16"/>
              </w:rPr>
              <w:t>Función de mapeo húmedo del GNSS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r/>
            <w:r>
              <w:rPr>
                <w:rFonts w:ascii="Verdana" w:hAnsi="Verdana"/>
                <w:b w:val="0"/>
                <w:sz w:val="16"/>
              </w:rPr>
              <w:t>0 15 088</w:t>
            </w:r>
          </w:p>
        </w:tc>
        <w:tc>
          <w:tcPr>
            <w:tcW w:type="dxa" w:w="1514"/>
          </w:tcPr>
          <w:p>
            <w:r/>
            <w:r>
              <w:rPr>
                <w:rFonts w:ascii="Verdana" w:hAnsi="Verdana"/>
                <w:b w:val="0"/>
                <w:sz w:val="16"/>
              </w:rPr>
              <w:t>Función de mapeo de gradiente del GNSS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r/>
            <w:r>
              <w:rPr>
                <w:rFonts w:ascii="Verdana" w:hAnsi="Verdana"/>
                <w:b w:val="0"/>
                <w:sz w:val="16"/>
              </w:rPr>
              <w:t>0 15 089</w:t>
            </w:r>
          </w:p>
        </w:tc>
        <w:tc>
          <w:tcPr>
            <w:tcW w:type="dxa" w:w="1514"/>
          </w:tcPr>
          <w:p>
            <w:r/>
            <w:r>
              <w:rPr>
                <w:rFonts w:ascii="Verdana" w:hAnsi="Verdana"/>
                <w:b w:val="0"/>
                <w:sz w:val="16"/>
              </w:rPr>
              <w:t>Retraso del trayecto cenital debido a una atmósfera hidrostática neutra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t>Note 18: Ningún descriptor de operadores se reserva para uso local.</w:t>
            </w:r>
          </w:p>
        </w:tc>
      </w:tr>
      <w:tr>
        <w:trPr>
          <w:cantSplit/>
        </w:trPr>
        <w:tc>
          <w:tcPr>
            <w:tcW w:type="dxa" w:w="1514"/>
          </w:tcPr>
          <w:p>
            <w:r/>
            <w:r>
              <w:rPr>
                <w:rFonts w:ascii="Verdana" w:hAnsi="Verdana"/>
                <w:b w:val="0"/>
                <w:sz w:val="16"/>
              </w:rPr>
              <w:t>0 15 090</w:t>
            </w:r>
          </w:p>
        </w:tc>
        <w:tc>
          <w:tcPr>
            <w:tcW w:type="dxa" w:w="1514"/>
          </w:tcPr>
          <w:p>
            <w:r/>
            <w:r>
              <w:rPr>
                <w:rFonts w:ascii="Verdana" w:hAnsi="Verdana"/>
                <w:b w:val="0"/>
                <w:sz w:val="16"/>
              </w:rPr>
              <w:t>Retraso del trayecto debido a una atmósfera hidrostática neutra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11</w:t>
            </w:r>
          </w:p>
        </w:tc>
        <w:tc>
          <w:tcPr>
            <w:tcW w:type="dxa" w:w="1514"/>
          </w:tcPr>
          <w:p>
            <w:r/>
            <w:r>
              <w:rPr>
                <w:rFonts w:ascii="Verdana" w:hAnsi="Verdana"/>
                <w:b w:val="0"/>
                <w:sz w:val="16"/>
              </w:rPr>
              <w:t>Note 19: Un suceso, como se define para su uso con los operadores 2 41 000 y 2 42 000, es una serie de una o más circunstancias descrita usando descriptores de la Tabla B adecuados junto con sus correspondientes valores de datos. El agrupamiento de tales descriptores en conjunto considerados como un solo “suceso” les permite ser asignados colectivamente como el objetivo de un descriptor separado como el 0 33 045 o el 0 33 046. Cuando define una circunstancia dentro de un suceso, el descriptor 0 33 042 puede emplearse precediendo al descriptor adecuado de la Tabla B para indicar que el valor correspondiente es en realidad el límite de una gama de valores.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