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23: Dispersión y transporte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Artículos aplicables a la notificación rápida de un accidente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Actividad o instalación relacionada con 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Contramedidas tomadas cerca de la frontera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Causa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luego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Características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de sustancias: estado actual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de sustancias: estado previsto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Caudal de la principal masa de agua receptora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Evolución de la emisión de sustancias con el paso del tiempo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real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efectiva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punto de emisión de sustancias al sitio del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transporte principal en la atmósfera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 subterránea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transporte principal en la atmósfera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 subterránea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Riesgo de que la columna radiactiva encuentre precipitaciones en el país en que ha ocurrido el incidente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Posibilidad de que la columna radiactiva sea afectada por un cambio en la dirección y/o en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Caudal – río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Caudal – pozo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