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Classe 10</w:t>
      </w:r>
    </w:p>
    <w:p>
      <w:r>
        <w:rPr>
          <w:rFonts w:ascii="Verdana" w:hAnsi="Verdana"/>
          <w:b/>
          <w:sz w:val="18"/>
        </w:rPr>
        <w:t>0 10 063  Caractéristique de la tendance barométrique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SOUS 1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En hausse, puis en baisse; la pression atmosphérique est la même ou plus haute que trois heures auparavant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En hausse, puis stationnaire; ou en hausse, puis en hausse plus lente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La pression atmosphérique est plus haute que trois heures auparavant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En hausse (régulière ou irrégulière)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La pression atmosphérique est plus haute que trois heures auparavant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En baisse ou stationnaire, puis en hausse; ou en hausse, puis en hausse plus rapide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La pression atmosphérique est plus haute que trois heures auparavant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Stationnaire; la pression atmosphérique est la même que trois heures auparavant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En baisse, puis en hausse; la pression atmosphérique est la même ou plus basse que trois heures auparavant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En baisse, puis stationnaire; ou en baisse, puis en baisse plus lente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La pression atmosphérique est plus basse que trois heures auparavant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En baisse (régulière ou irrégulière)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La pression atmosphérique est plus basse que trois heures auparavant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Stationnaire ou en hausse, puis en baisse; ou en baisse, puis en baisse plus rapide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La pression atmosphérique est plus basse que trois heures auparavant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9-14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10 064  Niveau de croisière - SIGMET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Subsonique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Transsonique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Supersonique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