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35</w:t>
      </w:r>
    </w:p>
    <w:p>
      <w:r>
        <w:rPr>
          <w:rFonts w:ascii="Verdana" w:hAnsi="Verdana"/>
          <w:b/>
          <w:sz w:val="18"/>
        </w:rPr>
        <w:t>0 35 000  FM et numéro de code régional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FM internationaux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l'Antarctique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Base de temps pour le contrôle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temps réel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temps quasi réel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différé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Divergences dans la disponibilité des données attendues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divergence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des pratiques et des procédures normalisées et recommandées y compris celles qui concernent le contrôle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Catalogues de bulletins météorologiques non mis à jour à temps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Annuaires d'acheminement incorrects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souplesse dans les dispositions d'acheminement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dans l'exploitation des centres et des circuits du SMT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de données ou retard dans la transmission de données sur le SMT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Acheminement des données différent de l'acheminement prévu par le plan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Fautes diverses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Qualification du contrôle des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Suffisants et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Suffisants mais d'une qualité partiellement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Insuffisants mais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Insuffisants et d'une qualité inacceptable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 incomplet de certains messages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suspects ou mal chiffrés ne pouvant être interprétés en toute confiance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Erreurs grossières de chiffrement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Ordre séquentiel de transmission non respecté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complètement embrouillé et rejeté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identifiées et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identifiées mais non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non identifiées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mesure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Incohérence mutuelle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Incohérence temporelle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prévision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systématique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du système de contrôle de la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Développement des programmes de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Cause des données manquantes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l'évanouissement brusque des signaux radioélectriques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l'interruption de service du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la panne de circuits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ou non-maintien de la densité requise du RSBR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personnel qualifié dans les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consommables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d'instrument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des procédures de télécommunications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Interruption de certains programmes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Anomalies dans l'observation et les données collectées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anomalie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non effectuées régulièrement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non effectuées au bon moment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effectuées mais non diffusées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effectuées et transmises à des usagers incorrects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non reçues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transmises en retard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non transmises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Difficultés dans la propagation HF et le choix de la fréquence correcte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Difficultés d'entretien du matériel de transmission dans les stations éloignées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disposition de secours pour acheminer les observations météorologiques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Tendances statistiques de la disponibilité des données (pendant la(les) période(s) d'observation)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importante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très importante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Régulière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diminution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Efforts nécessaires pour améliorer les observations de nuit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Raison de l'abandon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Éclatement du ballon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du ballon due au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Fuite ou ballon plafonnant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faible ou s'affaiblissant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d'accumulateur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de l'équipement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Interférence des signaux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de la radiosonde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blocs de données manquants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données manquantes sur la température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données manquantes sur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Abandon par l'opérateur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soudaine du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du signal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non valides ou données manquantes (délais dépassés)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