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08 : Caractéristiques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sondage vertical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correspondant à des données de sondage vertical du rayonnement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surface (données de température)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la portée visuelle de piste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capteur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changement d'une prévision de type «tendance» ou d'une prévision d'aérodrome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l'heure à laquelle le changement de prévision est attendu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70: Bit mis a 0 si aucune erreur du nombre de franges a ete detectee (voir le bit 11) ou si une erreur a ete detectee mais pas corrigee.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sur les différences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61: Ou le ciel (si le soleil est bas sur l'horizon), ou la lune ou les etoiles pendant la nuit.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49: Si le bit est mis à 1, l’indication est valable.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Manuel des codes (Volume I.1, Section C), Table de code d'où sont tirées les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données de la Table A du code 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fonctionnement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dérivation du pourcentage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50: 1) Les définitions données pour les chiffres du code 0 à 2 et 4 s’appliquent à une superficie représentative de sol nu, et les chiffres 3, 5 à 9 et 10 à 19 à une zone dégagée représentative. 2) En toutes circonstances, on choisit le chiffre du code le plus élevé qui puisse s’appliquer. 3) Dans la table de code ci-dessus, toute référence à de la glace comprend aussi les précipitations solides autres que la neige.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la mesure de la température ou de la salinité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d'exercice de contrôle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centre ou de station effectuant le contrôle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calage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 instrumentales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 (prévision aéronautique)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du niveau de vol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d'enregistrement 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 commune C-14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 commune C-14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Condition pour laquelle le nombre de jours d'occurrence est indiqué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du jour d'occurrence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la vitesse du vent ou des rafales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reflet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semi-transparence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d'écho de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Catégorie de produit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la hauteur du capteur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valeur nominale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faisceau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des coins déterminant la colonne observée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Caractéristiques cartographiques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51: Conjointement a l'observation de trombes marines ou de nuages en entonnoir, c'est-a-dire a plus de 3 km de la station.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coordonnées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l'incertitude de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