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14 : Rayonnement et luminance énergétique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 de grande longueur d'onde,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 de grande longueur d'onde,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 de courte longueur d'onde,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 de courte longueur d'onde,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instantané de grande longueur d'onde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instantané de courte longueur d'onde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 de la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global,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global,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diffus,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diffus,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 au sommet des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global (précision élevée),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diffus (précision élevée),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 (précision élevée),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Insolation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Flux de rayonnement solaire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réflexion bidirectionnelle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35: Le descripteur 0 25 009 est caduc; le remplacer par le descripteur 0 25 029.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36: Les statistiques sur les differences sont des valeurs differentielles ayant des dimensions similaires a celles des valeurs observees correspondantes en ce qui concerne les unites, mais dont les limites sont centrees sur le zero.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mise à l'échelle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29: Le sondage par atmosphere claire indique que le sondage a ete effectue a partir d'un ensemble de valeurs de luminance claire a l'aide de toutes les valeurs de luminance du sondeur disponible.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moyenne AVHRR mise à l'échelle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luminance AVHRR mise à l'échelle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Émissivité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Bit mis a 0 si c'est le jour (distance zenithale du soleil &lt; 90 degres). Bit mis a 1 si c'est la nuit (distance zenithale du soleil &gt;= 90 degres).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direct, intégré au cours de la dernière heure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global ascendant,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 (précision élevée),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photosynthétiquement actif,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l'activité solaire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de fond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Flux de chaleur du sol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ultraviolet global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83: Ces temperatures sont utilisees pour calculer la contribution du milieu aux luminances energetiques servant de cibles d'etalonnage interne. Quand ce bit est mis a 1, il faut remplacer les temperatures incorrectes par les valeurs confirmees de la temperature de la cible d'etalonnage interne.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