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19 : Caractéristiques synoptiques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Seuil de 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Code figures 26 - 30 are siting classifications according to the Guide to Instruments and Methods of Observation (WMO-No. 8), Volume I, Chapter 1, Annex 1.D.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Code figures 26 - 30 are siting classifications according to the Guide to Instruments and Methods of Observation (WMO-No. 8), Volume I, Chapter 1, Annex 1.D.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L'etalonnage spectral est incorrect si une erreur du nombre de franges est decelee et corrigee (voir le bit 8) ou si l'etalonnage a la lampe au neon est suspect et que le calcul de verification par lambda ne peut etre mis a jour (voir l'indicateur de qualite au niveau du balayage (0 33 075) - bit 3).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L'etalonnage spectral est incorrect si une erreur du nombre de franges est decelee et corrigee (voir le bit 8) ou si l'etalonnage a la lampe au neon est suspect et que le calcul de verification par lambda ne peut etre mis a jour (voir l'indicateur de qualite au niveau du balayage (0 33 075) - bit 3).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verticale de la circulation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effectif pour les vitesses de vent supérieures à la valeur seuil (tempêtes étendues)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d'obtention du centre de la caractéristique synoptique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pour laquelle a été calculé le déplacement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 la position du centre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et définition de l'œil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ou longueur de l'axe principal de l'œil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du caractère de l'œil durant les 30 minutes précédentes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entre l'extrémité de la bande en spirale et le centre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d'identification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sur laquelle a été calculé le déplacement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 la position géographique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moyen de la couverture nuageuse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apparente de l'intensité du cyclone tropical, à 24 heures d'intervalle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CI (intensité courante)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 (tropical) pour les données (DT) au sujet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nuageuse correspondant au nombre DT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 attendu du modèle (MET) pour le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Tendance sur les 24 heures précédentes (+: intensification, -: affaiblissement)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 de la configuration (PT)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d'image de nuages correspondant au nombre PT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 final pour le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du nombre T final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international commun des typhons (Comité des typhons)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