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21 : Données de radar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horizontale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verticale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différentielle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différentielle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dépolarisation rectiligne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dépolarisation circulaire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dans la direction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dans la direction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dans la direction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(radiale)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en dehors de l'intervalle de NYQUIST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en haut de l'intervalle de NYQUIST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maximale des échos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des cellules de distance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cellules de distance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d'azimut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différentielle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corrélation de polarisation croisée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Contenu en eau liquide, intégré verticalement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bande brillante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Puissance du signal supérieure à 1 mW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radiométrique (valeur de bruit)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des bruits parasites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Totalisateur de paquets manquants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le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du radioaltimètre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la mer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surface de la mer (SADIST-2)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d'étalonnage de l'altimètre sur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l'altimètre sur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spectrale de l'image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Représentation des intensités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(ionosphère)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(troposphère sèche)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(troposphère humide)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(constance d'étalonnage)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boucle ouverte (boucle hauteur-temps)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boucle ouverte (contrôle de gain automatique)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Étalonnage - cible chaude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Étalonnage - cible froide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moyen de pixels au nadir uniquement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moyen de pixels en double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Rétrodiffusion, conditions humides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RASS (Système de sondage radio-acoustique)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Maxima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d'ambiguïtés vectorielles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du vecteur vent retenu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de mesures de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équivalente radar normalisée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(alpha)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(bêta)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vecteur vent mesuré à l'intérieur de la cellule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l'avant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l'arrière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(gamma)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Modèle géophysique de diffusomètre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de pluie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pluie déterminé par SEAWINDS à partir d'une fonction objective normalisée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équivalente radar normalisée déterminée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valables par seconde utilisés pour dériver les paramètres précédents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spectrale totale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spectrale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Pouvoir séparateur de l'interspectre de covariance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réelle des interspectres, en nombre de cellules de la grille polaire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imaginaire des interspectres, en nombre de cellules de la grille polaire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 de l'altimètre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variation du front arrière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Recoupement de faisceaux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estimative de sigma-0 à une incidence de 40°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Pente à une incidence de 40°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estimative de la pente à une incidence de 40°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Sensibilité à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vecteur vent dans la cellule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de 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Perte par unité de longueur utilisée pour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l'estimation de la Kp,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des sigma-0,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Utilisation de données synthétiques,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des données synthétiques,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l'orbite et de l'attitude du satellite,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Contamination par réflexion sur panneau solaire,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Présence et qualité des télémesures,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référence extrapolée,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terrestre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présence de glace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du coefficient de rétrodiffusion corrigé pour l'océan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haute fréquence de la variabilité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à 20 Hz -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-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pour l'océan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pour l'océan à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Maxima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