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23 : Dispersion et transport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Notification rapide d'un accident - article applicable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Activité ou installation en cause dans l'incident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rejet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Contre-mesures prises près de la frontière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Cause de l'incident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Situation de l'incident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Caractéristiques du rejet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Nature du rejet observé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Nature du rejet prévu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Risque d'effets chimiques toxiques notables sur la santé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Débit de la principale masse d'eau réceptrice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Évolution du rejet dans le temps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réelle du rejet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effective du rejet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du point de rejet ou du site de l'incident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transport principal dans l'atmosphère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transport principal dans l'eau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transport principal dans les eaux souterraines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transport principal dans l'atmosphère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transport principal dans l'eau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transport principal dans les eaux souterraines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Possibilité que le panache rencontre des précipitations dans l'état où l'incident s'est produit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Possibilité que le panache soit affecté par un changement de direction et/ou de vitesse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Débit - cours d'eau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Débit - puits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