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33 : Informations sur la qualité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 (données des stations météorologiques automatiques)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situation interne des mesures (stations météorologiques automatiques)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vérification de la qualité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du contrôle de la qualité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l'emplacement de la bouée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valeurs A CARS interpolées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qualité manuel/automatique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Seuil de confiance nominal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corrélation des vents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d'observation au sol du GNSS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d'occultation radio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du phénomène qui suit (voir les notes 1 et 3)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Notes 1 et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conditionnelle du phénomène qui suit en fonction du phénomène associé indiqué (voir les notes 1, 2 et 3)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Notes 1, 2 et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GqisQuallndex - indicateur de caractéristique de bruit de l'instrument (par étalonnage spectral et étalonnage radiométrique)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GqisQuallndexLoc - indicateur d'indice de qualité géométrique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GqisQuallndexRad - indicateur de caractéristique de bruit de l'instrument (par étalonnage radiométrique)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GqisQuallndexSpect - indicateur de caractéristique de bruit de l'instrument (par étalonnage 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GqisSysTecSondQuai - sortie de la fonction qualité du Centre d'expertise technique du système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l'ozone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 (sur la base de données climatologiques)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chaude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froide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global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