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21 : Séquences correspondant à des messages de mesures par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(Profileur du vent - caractéristiques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(Profileur du vent - données relatives au moment)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(Profileur du vent - sondage des données relatives au moment)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et type de station, date/heure, position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du vent - données relatives au moment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(Caractéristiques des émetteurs-récepteurs)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des échos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Gamme d'agilité de fréquence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de crête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d'impulsion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minimal détectable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(Caractéristiques d'intégration)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 la porte d'intégration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portes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d'impulsions intégrées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Intégration des échos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d'étalonnage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des échos fixes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des échos de sol (filtrage)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de portée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bande brillante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en air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(Conversion de Z à 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Exposant de 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(Loi reliant A à 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Loi reliant A à Z pour le facteur d'atténuation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Loi reliant A à Z pour l'exposant d'atténuation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(Caractéristiques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la base du pylône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l'antenne au-dessus de la base du pylône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Radôme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Exactitude du pointage en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Exactitude de l'angle de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(Caractéristiques générales)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d'image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avec d'autres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(Angles de site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site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 de base (système/site) concernant le profileur du vent/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-6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 la porte d'intégration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(Profileur du vent: données traitées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(Profileur du vent: données brutes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 RASS: données traitées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virtuelle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(Mode RASS: données brutes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propagation acoustique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(Flux de données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virtuelle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Constante structurelle de l'indice de réfraction (Cn2)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quantités de mouvement vertical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la poussée verticale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cinétique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de dissipation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(Spécification du radar, surface équivalente radar normalisée, coefficient de variance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(Spécification du radar, surface équivalente radar normalisée mesurée par SEAWINDS, coefficient de variance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(Sigma-0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faisceau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 de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faisceau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radiométrique (valeur du bruit)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Utilité des sigma-0,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