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01: Идентификация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42: Область значения для параметра 0 04 015 лимитирована от -99 до 99; общая последовательность D 06 019 кода CREX является исходной последовательностью с 2 символами только для соответствующего дескриптора.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коммерческого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стационарного буя/платформы; например буи C-MAN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 | 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 | 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148: Указатель шторма (дескриптор 0 01 025) имеет следующее значение: первыми двумя символами должен быть задан цифровой последовательный номер, присвоенный автором сообщения; третий символ — буква, указывает на океанический бассейн, в котором находится шторм, в соответствии со следующей таблицей: W Северо-западная часть Тихого океана; E Северо-восточная часть Тихого океана до 140° в. д.; C Северо-восточная часть Тихого океана в пределах 140°–180° в. д.; L Северная часть Атлантического океана, включая Карибское море и Мексиканский залив; A Северная часть Аравийского моря; B Бенгальский залив; S Южная часть Индийского океана; P Южная часть Тихого океана; F РСМЦ района Нади в Тихом океане; U Австралия; O Южно-Китайское море; T Восточно-Китайское море. Не требуется, чтобы различные наблюдатели координировали последовательные номера, даже если оба наблюдателя упоминают в сообщениях об одном и том же шторме.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182: Название шторма, используемое ВМО (дескриптор 0 01 027): в тех случаях, где определяемое тропическое возмущение не достигло силы тропического шторма и ему не было присвоено официальное название, в названии шторма необходимо использовать слово «NAMELESS».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об оптической плотности аэрозоля (ОПА)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 ПСИ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153: Значением этой характеристики могла бы быть последовательность символов, которая содержит название модели и другие полезные элементы, такие как ячейка модели.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таблица, определенная центром-поставщиком/производителем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175: Если для определения сложных временных структур требуется более одного временного периода или отклонения, то их необходимо определять следующими друг за другом, при этом необходимо соблюдать следующий порядок: общий период (если требуется), за которым следует прогностической период (если требуется), за которым следует период для усреднения или накапливания (если требуется). | Note 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 | 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данных о доле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Пункт передачи сводки с воздушного судна (указатель Beacon)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 определения первоначальных возмущений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члена ансамбля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ансамблевого прогноза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партии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наблюдателей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Однозначное определение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национальной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версии образца, определяемый центром-поставщиком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Координатная система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Контрольная фиксированная величина среднего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0 01 153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Малая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