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23: Рассеивание и перенос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Оперативное оповещение об аварии — применимая статья Конвенции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Деятельность или установка, связанные с происшествием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Контрмеры, принятые близ границы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Причина происшествия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Ситуация, связанная с происшествием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текущего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ожидаемого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Возможность значительного химикотоксического воздействия на здоровье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Расход потока в главном приемнике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Поведение выброса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Фактическая высота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Эффективная высота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до точки выброса или места происшествия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воде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грунтовых водах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воде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грунтовой воде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Возможность взаимодействия шлейфа с осадками, выпавшими в стране происхождения аварии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Воздействие на шлейф изменения в направлении и/или флаге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Расход потока — река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Расход потока — колодец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