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33: Информация о качестве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Указание контроля качества последующей величины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последующей величины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статуса сканирующей строки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сканирующей строки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Номинальный порог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корреляции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наземных ГЛОНАСС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о радиозатмении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Достоверность AST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примечания 1 и 3)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Условная вероятность последующего события по отношению к указанному определяющему событию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примечания 1, 2 и 3)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достоверности инверсии SAR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вектора атмосферной циркуляции (ВАЦ)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измерений общего содержания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измерений профиля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в измерении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геоположения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гранул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данных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геоположения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данных по излучению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уровня элемента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оптической плотности аэрозоля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воспроизведения уровня элемента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Участок орбиты спутника в пределах Южно-атлантической аномалии (на основе климатологических данных)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общего содержания озона в столбе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калибровки по теплой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калибровки по холодной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общей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