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11: Последовательности сводок по одному уровню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(традиционные данные)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рейса, навигационная система, дата/время, местоположение, фаза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нижней границы турбулентности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верхней границы турбулентности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(Сводки c ACARS)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ACARS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ACARS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Стандартные сообщаемые параметры ACARS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сообщаемые параметры ACARS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(Стандартные сообщаемые параметры ACARS)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Указанная высота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Отношение смеси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(Дополнительные сообщаемые параметры ACARS)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вертикальных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Ускорение вертикальных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турбулентная интенсивность (скорость вихревой диссипации)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Пик турбулентной интенсивности (скорость вихревой диссипации)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интерполированных значений ACARS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данных о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(Стандартные сводки АМДАР)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Подробная фаза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 производный эквивалент вертикальной скорости порыва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интерполированных значений АКАРС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АМДАР или данные воздушного судна для одного уровня без указания широты/долготы)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угла крена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воздушного судна для одного уровня с указанием широты/долготы)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угла крена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(Профиль фаз взлета/посадки воздушного судна без указания широты/долготы на каждом уровне)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АМДАР или данные воздушного судна для одного уровня без указания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(Профиль фаз взлета/посадки воздушного судна с указанием широты/долготы для каждого уровня)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(Образец кода BUFR для АМДАР, версия 7)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Аэропорт приписки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Аэропорт назначения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2 бита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8 Два бита информации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Барометрическая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глобальной навигационной спутниковой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Подробная фаза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угла крена воздушного судан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Истинная воздушная скорость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Путевая скорость воздушного судна, компонента-u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Путевая скорость воздушного судна, компонента-v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Путевая скорость воздушного судна, компонента-w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морского судна Истинный курс или другой подвижной платформы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Истинный курс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Самолетные датчики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Отношение смеси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данных о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Наличие обледенения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Пиковое содержание жидкой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Среднее содержание жидкой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Условия переохлажденных крупных капель (SLD)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интерполированных значений ACARS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турбулентная интенсивность (скорость вихревой диссипации)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Пик турбулентной интенсивности (скорость вихревой диссипации)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Расширенное время наступления пиковой скорости вихревой диссипации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турбулентности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EDR (скорость вихревой диссипации)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Интервал передачи сообщений или время усреднения для скорости вихревой диссипации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вертикальных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Ускорение вертикальных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 производный эквивалент вертикальной скорости порыва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1 19 000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19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Вариант алгоритма EDR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7 битов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7 Процентная степень достоверности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Пик турбулентной интенсивности (скорость вихревой диссипации)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турбулентная интенсивность (скорость вихревой диссипации)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Скользящий минимальный достоверный интервал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Максимальное число дефектных входных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Определение позиции пике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хороших данных EDR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(Образец IAGOS для единственного наблюдения), версия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20 битов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Концентрация загрязняющего вещества (моль·моль–1)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19 битов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Концентрация загрязняющего вещества (моль·моль–1)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численной плотности аэрозольных частиц с диаметром более 5 нм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численной плотности аэрозольных частиц с диаметром более 14 нм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численной плотности аэрозольных частиц с диаметром от 0,25 до 2,5 μм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Доля нелетучих аэрозолей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суммарной плотности частиц в облаке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суммарной площади частиц в облаке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суммарного объема частиц в облаке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(Образец BUFR для данных профиля набора высоты/ снижения воздушного судна с указанием широты/ долготы для каждого уровня)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Аэропорт вылета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Сообщается для профиля набора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Аэропорт назначения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Сообщается для профиля снижения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и положение первого уровня в профиле (для профиля набора высоты первая сводка/взлет, для профиля снижения последняя сводка/приземление)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и положение первого уровня в профиле (для профиля набора высоты первая сводка/взлет, для профиля снижения последняя сводка/приземление)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и положение первого уровня в профиле (для профиля набора высоты первая сводка/взлет, для профиля снижения последняя сводка/приземление)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Фаза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Профиль набора высоты или снижения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повторов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 сводки по одному уровню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сводки по одному уровню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с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Эшелон полета = барометрическая высота, температура точки росы = величина, полученная на основе отношения смеси, ограничено Td ≤ 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Отношение смеси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Исходное измеренное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Величина, полученная на основе отношения смеси, ограничено ≤ 100 %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данных о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 (сообщается кодовая цифра 10, если Td &gt; T, см. кодовую таблицу ниже)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