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23</w:t>
      </w:r>
    </w:p>
    <w:p>
      <w:r>
        <w:rPr>
          <w:rFonts w:ascii="Arial" w:hAnsi="Arial"/>
          <w:b/>
          <w:sz w:val="18"/>
        </w:rPr>
        <w:t>023001  Accident early notification - article applicable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Articles 1 and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Article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Article 5.2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023002  Activity or facility involved in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Nuclear reactor on ground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Nuclear reactor at sea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Nuclear reactor in space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Nuclear fuel facility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Radioactive waste management facility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Transport of nuclear fuel or radioactive waste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Storage of nuclear fuel or radioactive waste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Manufacture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Storage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Disposal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Transport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Use of radio-isotopes for power generation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023003  Type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to atmosphere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to 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to both atmosphere and 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Expected release to atmosphere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Expected release to 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Expected release to both atmosphere and 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023004  Countermeasures taken near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countermeasures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Evacuation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Sheltering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Prophylaxis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023005  Cause of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Incident State does not understand what happened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Incident State knows the cause of the incident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023006  Incident situation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deterioration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Improving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Deteriorating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023007  Characteristics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has stopped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is continuing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023008  State of current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023009  State of expected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023016  Possibility of significant chemical toxic health effect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significant chemical toxic health effect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chemical toxic health effect possible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023018  Release behaviour over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no longer occurring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still occurring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expected to increase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expected to remain constant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Release expected to decrease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023031  Possibility that plume will encounter precipitation in State in which incident occurred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Plume will not encounter rain in incident State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Plume will encounter rain in incident State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023032  Plume will encounter change in wind direction and/or speed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significant change expected within the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Anticipated significant change expected within the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