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00: BUFR/CREX table entries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A: entry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Character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A: data category description, line 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Character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A: data category description, line 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Character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BUFR/CREX Master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Character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98: Code figures 1 - 24 are siting classifications and measurement quality classifications according to the Guide to Instruments and Methods of Observation (WMO-No. 8), Volume I, Chapter 1, Annex 1.D and Annex 1.G.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BUFR/CREX edition number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Character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BUFR Master table version number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Character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33: Code figures 11-19: Period of current measurement (drift method).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CREX Master table version number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Character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40: For use of code figure 15, see Regulation 12.1.4.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BUFR Local table version number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Character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76: The exact bounding height shall be assigned for the lower code figure; e.g., a height of 4 m is coded as 5.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 descriptor to be added or defined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Character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X descriptor to be added or defined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Character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Y descriptor to be added or defined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Character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Element name, line 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Character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Element name, line 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Character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Units name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192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Character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Units scale sign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Character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Units scale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Character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Units reference sign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Character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Units reference value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Character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Element data width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Character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figure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Character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figure meaning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Character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Bit number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Character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Bit number meaning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Character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Descriptor defining sequence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Character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