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21: Radar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Linear depolarization ratio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Circular depolarization ratio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reflectivity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 Doppler velocity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Doppler mean velocity in x-direction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Doppler mean velocity in y-direction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Doppler mean velocity in z-direction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Doppler mean velocity (radial)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Doppler velocity spectral 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NYQUIST velocity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High NYQUIST velocity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Dynamic atmospheric correction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Echo tops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Range bin offset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Range bin size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Azimuth offset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Azimuthal resolution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Land contribution ratio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Differential phase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Cross-polarization correlation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Vertically integrated liquid-water content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rainfall intensity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Bright-band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Signal power above 1 mW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Clutter noise estimate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Missing packet counter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SST product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Peakiness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altimeter instrument mode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Image spectrum intensity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Representation of intensities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(ionosphere)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Warm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Cold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Wet backscatter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Ku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 coefficient 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 coefficient 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 coefficient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vector ambiguities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Index of selected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Likelihood computed for 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Normalized radar cross-section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(alpha)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(beta)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SEAWINDS wind vector cell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 variance coefficient (gamma)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SEAWINDS sigma-0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SEAWINDS sigma-0 mode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Sigma-0 variance quality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scatterometer geophysical model function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Probability of rain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SEAWINDS NOF rain index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per second used to derive previous parameters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Spectrum total energy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Spectrum max energy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Ku band rain attenuation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Altimeter rain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RMS 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Trailing edge variation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Beam co-location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Slope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 sensitivity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Wind vector cell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Backscatter distance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Kp estimate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use of synthetic data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synthetic data quantity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Land fraction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Subsurface scattering probability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Ice presence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RMS 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 Hz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 Hz Ku band peakiness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Corrected OCOG backscatter coefficient (negative reference)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11: (See Common Code table C-7 in Part C/c.)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