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23: Dispersal and transport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Accident early notification - article applicable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Activity or facility involved in incident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Type of release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Countermeasures taken near border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Cause of incident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Incident situation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Characteristics of release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State of current release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State of expected release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Possibility of significant chemical toxic health effect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Flow discharge of major recipient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Release behaviour over time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Actual release height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Effective release height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Distance of release point or site of incident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Main transport speed in the atmosphere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Main transport speed in water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Main transport speed in ground water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Main transport direction in the atmosphere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Main transport direction in water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Main transport direction in ground water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Possibility that plume will encounter precipitation in State in which incident occurred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Plume will encounter change in wind direction and/or speed flag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Flow discharge - river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023041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Flow discharge - well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m3/s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