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10</w:t>
      </w:r>
    </w:p>
    <w:p>
      <w:r>
        <w:rPr>
          <w:rFonts w:ascii="Arial" w:hAnsi="Arial"/>
          <w:b/>
          <w:sz w:val="18"/>
        </w:rPr>
        <w:t>010063  Característica de la tendencia barométrica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Subiendo, después bajando; la presión atmosférica es la misma o más alta que 3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Subiendo, después estacionaria; o subiendo y después aumentando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Subiendo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Bajando o estacionaria, después subiendo; o subiendo y después subiendo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Estacionaria; la presión atmosférica es la misma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Bajando, después subiendo; la presión atmosférica es la misma o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Bajando, después estacionaria; o bajando y después bajando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Bajando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Estacionaria o subiendo y después bajando; o bajando y después bajando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010064  Nivel de crucero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Subsónico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Transónico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Supersónico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