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24</w:t>
      </w:r>
    </w:p>
    <w:p>
      <w:r>
        <w:rPr>
          <w:rFonts w:ascii="Arial" w:hAnsi="Arial"/>
          <w:b/>
          <w:sz w:val="18"/>
        </w:rPr>
        <w:t>024003  Composición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Gases nobles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Yoduros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Cesios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Elementos transuránicos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