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00: Entradas de las tablas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A: elemento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A: descripción de la categoría de datos, línea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A: descripción de la categoría de datos, línea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maestra BUFR/CREX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98: Las tablas maestras están descritas en la nota 2 de la Sección 1 de las reglas BUFR (parte de la regla titulada “Especificación del contenido de octetos”).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edición BUFR/CREX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33: Cifras de clave 11 a 19: período de medición de la corriente (método de deriva).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40: Para utilizar la cifra de clave 15, véase la Regla 12.1.4.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76: Cuando haya que cifrar una altura que corresponda a dos cifras de clave, se tomará la cifra más baja. Por ejemplo, una altura de 4 m se cifrará 5.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Descriptor F que se agregará o definirá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Descriptor X que se agregará o definirá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Descriptor Y que se agregará o definirá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del elemento, línea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del elemento, línea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las unidades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Signo del factor de escala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Factor de escala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Signo de referencia de las unidades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Valor de referencia de las unidades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Anchura de datos del elemento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Cifra de clave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Significado de la cifra de clave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bits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Significado del número de bits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Secuencia que define al descriptor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