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02: Instrumentos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instrumentos de medición utilizados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 utilizado para medir la evaporación o tipo de cultivo para el que se informa la evapotranspiración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Precisión de las observaciones de la temperatura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 de teledetección en altitud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del instrumento de medición del nivel de agua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plataforma marina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radiosonda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radiación solar y de infrarrojo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Técnica de seguimiento de trayectoria/situación del sistema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Integralidad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Configuración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Algoritmos de corrección de las mediciones de humedad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satélite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Datos de instrumentos satelitales utilizados en el proceso*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47: HIRS* equivale a : canales HIRS 1 (669 cm–1) 2 (679 cm–1) 3 (690 cm–1) 4 (2 358 cm–1)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Técnica utilizada en el proceso de datos satelitales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del viento a partir de datos satelitales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Canal(es) satelital(es) utilizado(s) en el cálculo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Dimensión del segmento en el nadir en la dirección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Dimensión del segmento en el nadir en la dirección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digitalización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ancla flotante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del cable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boya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observación de las mareas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temperatura y/o la salinidad del agua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temperatura con bulbo húmedo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para eliminar los efectos de la velocidad y del movimiento de la plataforma en la medición de la corriente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estimación utilizado en los informes relativos a la configuración sinóptica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la velocidad de la corriente en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del método de cálculo de los datos espectrales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del tipo de plataforma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de medición de las olas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tsunámetro para niveles profundos del océano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del sensor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Técnica utilizada para el proceso de datos de satélites geoestacionarios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Canales utilizados por un satélite geoestacionario de sondeo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Indicador que determina el método de observación de las temperaturas extremas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Canales utilizados por un satélite geoestacionario productor de imágenes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Características de la temperatura de luminancia obtenida mediante un satélite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Características de los parámetros de sondeo efectuados por un satélite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Parámetros estadísticos de los sondeos de satélites geoestacionarios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la precisión de los sondeos de satélites geoestacionarios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Origen de la información de primera aproximación para sondeos de satélites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Tiempo de validez de la información de primera aproximación para sondeos de satélites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Origen de la información de análisis para sondeos de satélites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Origen de la información de superficie para sondeos de satélites GOES-I/M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Sistema de navegación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sistema de retransmisión de datos procedentes de aeronaves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balanceo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Calidad del ángulo de balanceo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Estación ACARS de recepción en tierra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Sistema de recepción en tierra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de funcionamiento de la radiosonda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Especificación original de latitud/longitud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espectrográfica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Anchura espectrográfica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Fabricante del globo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globo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Peso del globo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refugio para globos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gas utilizado en el globo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Cantidad de gas utilizada en el globo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arrastre de vuelo del globo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Superficie del paracaídas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Volumen de gas utilizado en el globo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m³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m³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Sensor de entrada 4/20 mA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del perfil de ozono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presión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temperatura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humedad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Constante de radar+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157: Esta constante se define como sigue: Z = P + constante radar donde / Z = reflectividad del objetivo en la dirección del haz (dBZ) / P = potencia a la entrada del receptor por encima de 1 mW (dBm) / Esta constante se emplea para normalizar la señal, para un alcance equivalente a 100 km.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antena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antena sobre la base de la torre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Radomo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Polarización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Ganancia máxima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Anchura del haz a 3 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Supresión de los lóbulos laterales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Discriminación de la polarización cruzada (en el eje)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angular de la antena (en azimut)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Velocidad angular de la antena (en elevación)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incidencia del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abertura del haz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visiones azimutales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Superficie equivalente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procesado de banda de 320 MHz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procesado de banda de 80 MHz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procesado de banda de 20 MHz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Operaciones de instrumento RA-2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de ola oceánica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media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Alcance de la agilidad de la frecuencia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Potencia de cresta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Potencia media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de repetición de los impulsos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Anchura de impulso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intermedia del receptor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Anchura de banda de las frecuencias intermedias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Señal mínima detectable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Alcance dinámico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Control de sensibilidad en función del tiempo (STC)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Precisión de puntería en azimut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Precisión de puntería en elevación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Azimut del haz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Elevación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Alcance procesado por la corrección de atenuación de alcance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Relación de frecuencia de repetición de impulsos dual del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rotación de la antena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Configuración del instrumento SIRAL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Ángulo azimutal del haz del radar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111: Nótese que el descriptor 0 02 140 es el ángulo azimutal medido en sentido sinistrorso desde el vector guía del satélite. I.2 – BUFR/CREX Tabla B/02 – 11 (Clase 02 – continuación)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medición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serie/indicador del tipo de instrumento de medición del ozono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91: Valor relegado. Utilícese en su lugar la cifra de clave 6.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 de medición del ozono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fuente luminosa para el espectrofotómetro de Brewer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Ajuste de la longitud de onda para los instrumentos Dobson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Condiciones de la fuente para los instrumentos Dobson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transmisión al centro de recopilación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Sistema de recopilación de datos y/o ubicación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boya de datos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canal de los instrumentos TOVS/ATOVS/AVHRR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radiómetro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de satélite utilizado en el proceso de los datos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46: Granizo, granizo menudo o nieve granulada.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Anchura de banda del canal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del canal satelital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mediciones válidas de reseguimiento de océano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mediciones válidas de reseguimiento de océano en banda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RA-2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MWR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del radar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procesamiento del viento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ampliado de asignación de la altura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asignación de la altura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del tipo de radiancia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radiancia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cálculo de la radiancia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Presión hidrostática en el extremo inferior del cable (cadena de termistores)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anemómetro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Sensores de humedad de la aeronave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serie del instrumento para mediciones del perfil de temperatura del agua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producto para la recuperación de datos sobre gases atmosféricos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Cuadrado del ángulo de desviación del nadir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grado²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124: Cuadrado del ángulo de desviación del nadir contabilizado a partir de parámetros derivados en forma de onda Ku, unidad 10 –4 grado2, valor mínimo común 0, valor común 900. I.2 – BUFR/CREX Tabla B/02 – 12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medio de píxeles transversales por pista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precipitación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del estado del suelo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del espesor de la nieve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del contenido líquido de la precipitación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algoritmo de la condición del cielo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Principal sistema de detección de tiempo presente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Sensor suplementario de tiempo presente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Sistema de medición de la visibilidad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Sistema de detección de nubes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detección del rayo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evaporación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Capacidad para detectar fenómenos de precipitación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Capacidad para detectar otros fenómenos meteorológicos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Capacidad para detectar el oscurecimiento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Capacidad para distinguir entre descargas eléctricas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Inmersión de una boya lagrangiana a la deriva (% de tiempo en que permanece sumergida)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002191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Cálculo de la altura geopotencial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