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10: Ubicación sin coordenadas (vertical)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terreno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 mínima reducida al nivel medio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 máxima reducida al nivel medio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93: Cuando están representados valores observados menos valores de predicción, el período de la predicción se indicará mediante un descriptor apropiado de Clase 04. | Note 150: El valor para el descriptor 0 10 031 ha sido escogido para adecuarse a satélites en órbita polar en órbitas aproximadamente heliosincrónicas. Órbitas geoestacionarias requerirían una anchura de datos mayor para la distancia y ligeramente menor para la velocidad.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 (plataforma a elipsoide)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Ondulación del geoide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128: La “ondulación del geoide” es la diferencia entre el elipsoide de referencia (WGS-84) y la altura del geoide (EGM96) en el lugar geográfico de la observación, ambos referenciados con respecto al centro de masa de la Tierra. I.2 – BUFR/CREX Tabla B/10 – 4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máxima de carga en cubierta sobre la línea de carga máxima de verano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altitud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Ajuste del altímetro (QNH)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Cambio de presión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Cambio de presión en 3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Cambio de presión en 24 horas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Nivel de crucero SIGMET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 de la aeronave indicada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visión cenital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Tasa de altitud instantánea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atmósfera utilizada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Topografía dinámica media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- marea oceánica geocéntrica (solución 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Anomalía de la altura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