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14: Radiación y radiancia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larga,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larga,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corta,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corta,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neta de onda larga,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neta de onda larga, integrada durante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neta de onda corta,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neta de onda corta, integrada durante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neta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neta,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instantánea de onda larga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instantánea de onda corta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Albedo en superficie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global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global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difusa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difusa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directa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directa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Albedo en la cima de las nubes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Albedo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global (gran precisión)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difusa (gran precisión)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directa (gran precisión)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Flujo de radiación solar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Reflexión bidireccional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Radiancia del canal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µm-1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µm-1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35: El descriptor 0 25 009 ha dejado de utilizarse. Utilícese en su lugar el descriptor 0 25 029.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Radiancia del canal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Radiancia del canal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36: Las estadísticas de diferencia son valores de diferencia; sus dimensiones son iguales a las de los valores correspondientes comunicados con respecto a unidades, pero con una gama centrada en cero (por ejemplo, diferencia entre valores comunicados y analizados, diferencia entre valores comunicados y previstos, etc.).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Radiancia IASI ajustada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29: Por sondeo en cielo despejado se entiende que el sondeo ha sido generado a partir de un conjunto de valores de radiancias en cielo despejado utilizando todos los valores de radiancia de la sonda.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Radiancia media ajustada AVHRR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Radiancia de la desviación estándar ajustada AVHRR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Emisividad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69: Se fija en 0 si es de día (ángulo cenital solar &lt; 90°). Se fija en 1 si es de noche (ángulo cenital solar ≥90°).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directa integrada durante la última hora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ascendente mundial, integrada en un período especificado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neta (gran precisión), integrada en un período especificado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fotosintéticamente activa, integrada en un período especificado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actividad solar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Lumicia de fondo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Flujo de calor del suelo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Irradiación UV mundial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83: Estas temperaturas se utilizan para calcular la contribución “ambiental"" a las radiancias del blanco de calibración interna. Cuando este bit se fija en 1, las temperaturas inválidas se reemplazan por los valores de temperatura validados del blanco de calibración interna.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