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23: Dispersión y transporte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Artículos aplicables a la notificación rápida de un accidente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Actividad o instalación relacionada con el incidente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emisión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Contramedidas tomadas cerca de la frontera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Causa del incidente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Situación luego del incidente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Características de la emisión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Emisión de sustancias: estado actual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Emisión de sustancias: estado previsto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Riesgo de una importante intoxicación de origen químico que afecte a la salud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Caudal de la principal masa de agua receptora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Evolución de la emisión de sustancias con el paso del tiempo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real de la emisión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efectiva de la emisión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del punto de emisión de sustancias al sitio del incidente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transporte principal en la atmósfera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transporte principal en el agua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transporte principal en el agua subterránea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transporte principal en la atmósfera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transporte principal en el agua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transporte principal en el agua subterránea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Riesgo de que la columna radiactiva encuentre precipitaciones en el país en que ha ocurrido el incidente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Posibilidad de que la columna radiactiva sea afectada por un cambio en la dirección y/o en la 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Caudal – río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Caudal – pozo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