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24: Elementos radiológicos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Estimación de la cantidad de radiactividad emitida hasta una hora dada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Emisión potencial máxima estimada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Composición de la emisión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Masa del isótopo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Dosis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mSv*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mSv*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Trayectoria de la dosis (para un lugar y una hora de llegada dados)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Dosis de rayos gamma en el aire a lo largo de la ruta del transporte principal (en un lugar preciso y por un período determinado)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Tasa de dosis de radiación gamma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nSv h-1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nSv h-1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81: El alcance nominal de la humedad del suelo en superficie es 0% - 100%. En casos extremos, el retrodispersor extrapolado a un ángulo de incidencia de 40 grados puede ser superior a la referencia del retrodispersor húmedo o seco. En tales casos, el valor proporcionado por el proceso de medición de la humedad del suelo en superficie es menor de 0% o mayor de 100%, respectivamente.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Concentración en el aire (del tipo de isótopo designado incluyendo la dosis beta bruta)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Concentración en las precipitaciones (del tipo de isótopo designado)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 l-1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 l-1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Pulsación de la radiación beta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Pulsación de la radiación gamma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