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27: Ubicación sin coordenadas (horizontal –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exactitud)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Latitud (exactitud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Latitud alterna (exactitud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132: Se puede utilizar la latitud alterna cuando el cálculo de la posición nos da varias soluciones y a priori no hay modo de distinguir entre ellas.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Latitud alterna (gran exactitud)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132: Se puede utilizar la latitud alterna cuando el cálculo de la posición nos da varias soluciones y a priori no hay modo de distinguir entre ellas.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Eje de huella 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Contador de la ubicación de los satélites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143: El contador de ubicación de los satélites se calcula como sigue: = número de superbanda x 1 000 + número de casilla x 10 + número de minicasilla.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Dimensión de sububicación de los satélites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144: La dimensión de la sububicación de los satélites se calcula como sigue: dimensión = dimensión de minicasilla + dimensión de casilla donde: dimensión de minicasilla = líneas x 1000 + puntos x 100 dimensión de casilla = líneas x 10 + puntos. I.2 – BUFR/CREX Tabla B/27 – 1 (Clase 27 – continuación)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Distancia desde el centro de la Tierra en dirección de 0 grados de longitud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96: Coincidiendo con la observación de trombas marinas o nubes con forma de embudo, en decir, a más de 3 km de la estación. | Note 151: El valor para el descriptor 0 27 031 ha sido escogido para adecuarse a satélites en órbita polar en órbitas aproximadamente heliosincrónicas. Las órbitas geoestacionarias requerirían una anchura de datos mayor para la distancia y ligeramente menor para la velocidad.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Anchura horizontal del volumen de muestra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visión azimutal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