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35: Información sobre el control de 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clave FM y regional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Plazo de tiempo para el control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informes efectivamente recibidos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Boletín sometido a control (TTAAii)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Boletín sometido a control (YYGGgg)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Boletín sometido a control (CCCC)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Boletín sometido a control (BBB)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Discrepancias en cuanto a la disponibilidad de datos esperados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los resultados del control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Causa de los datos faltantes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Deficiencias de observación y recopilación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Tendencias estadísticas de la disponibilidad de datos (durante el (los) período(s) examinado(s)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035035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Motivo de la terminación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