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05: Secuencias meteorológicas o hidrológicas comunes a las observaciones hidrológicas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única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del agua aguas arriba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medioambiental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Radiancia solar directa integrada durante la última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del agua aguas abajo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Conductividad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Turbiedad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(Definición de la serie de mediciones SADC- 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Primera medición única menos el incremento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única SADC-HYCOS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SADC-HYCOS)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– con ubicación física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medioambiental SADC-HYCOS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Definición de la serie de mediciones SADC- 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MEDHYCOS)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del agua aguas abajo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en la hora anterior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máximo de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MEDHYCOS)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de la primera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MEDHYCOS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única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AOCHYCOS – Chad)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MEDHYCOS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Idéntica al tipo de medición MEDHYCOS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 –50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AOCHYCOS sobre el Chad)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de la primera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AOCHYCOS-Chad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única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MEDHYCOS de tipo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AOCHYCOS-Chad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Idéntica al tipo de medición AOCHYCOS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Sensor de entrada 4/20 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Nº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Sensor de entrada 4/20 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Nº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MEDHYCOS de tipo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de la primera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tiempo entre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MEDHYCOS de tipo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única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(Parámetros meteorológicos asociados a datos hidrológicos)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global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atmosférica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 la calidad del agua)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Conductividad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Oxígeno disuelto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Potencial de oxidación–reducción (ORP)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Turbiedad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305018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MEDHYCOS con datos meteorológicos y sobre la calidad del agua)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de la primera medición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horario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AOCHYCOS-Chad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Idéntica al tipo de medición AOCHYCOS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Parámetros meteorológicos asociados a datos hidrológicos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305017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calidad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