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08: Caractéristiques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de la caractéristique météorologique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sondage vertical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dimensionnelle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correspondant à des données de sondage vertical du rayonnement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Phase de vol détaillée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la surface (données de température)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météorologique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terre/mer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jour/nuit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pour la portée visuelle de piste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capteur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changement d'une prévision de type «tendance» ou d'une prévision d'aérodrome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l'heure à laquelle le changement de prévision est attendu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terre/glace mesurée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centre suivant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total (dans le contexte d'une somme ou d'une moyenne)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de premier ordre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70: Bit mis a 0 si aucune erreur du nombre de franges a ete detectee (voir le bit 11) ou si une erreur a ete detectee mais pas corrigee.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Statistiques sur les différences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61: Ou le ciel (si le soleil est bas sur l'horizon), ou la lune ou les etoiles pendant la nuit.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Décalage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49: Si le bit est mis à 1, l’indication est valable.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matricielle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Manuel des codes (Volume I.1, Section C), Table de code d'où sont tirées les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données de la Table A du code CREX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Mode de fonctionnement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Méthode de dérivation du pourcentage de confiance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50: 1) Les définitions données pour les chiffres du code 0 à 2 et 4 s’appliquent à une superficie représentative de sol nu, et les chiffres 3, 5 à 9 et 10 à 19 à une zone dégagée représentative. 2) En toutes circonstances, on choisit le chiffre du code le plus élevé qui puisse s’appliquer. 3) Dans la table de code ci-dessus, toute référence à de la glace comprend aussi les précipitations solides autres que la neige.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la mesure de la température ou de la salinité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d'exercice de contrôle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centre ou de station effectuant le contrôle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calage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 instrumentales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temporelle (prévision aéronautique)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du niveau de vol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étendue correspondant à des données de sondage vertical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(voir Note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Numéro d'enregistrement 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 commune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 commune C-14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Nombre d'observations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Condition pour laquelle le nombre de jours d'occurrence est indiqué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du jour d'occurrence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la vitesse du vent ou des rafales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Signification du mode de balayage de l'échantillon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reflet solaire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semi-transparence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pixel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d'écho de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bande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de surface détecté par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Catégorie de produit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d'équipement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Correction de la hauteur du capteur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de valeur nominale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Identification du faisceau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Position des coins déterminant la colonne observée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Caractéristiques cartographiques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51: Conjointement a l'observation de trombes marines ou de nuages en entonnoir, c'est-a-dire a plus de 3 km de la station.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des coordonnées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008093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de l'incertitude de mesure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