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11: Vent et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relatif (en degrés par rapport à la position de la proue)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relatif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associée à la vitesse du vent qui suit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5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5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Stabilité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Tourbillon relatif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potentielle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 détaillé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 la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 la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des rafales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Heure du taux maximal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Étalement dans le temps de l'apparition du taux maximal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(vent moyen)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moyenne du vent entre la surface et 1500 m (5000 pieds)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moyenne du vent entre la surface et 1500 m (5000 pieds)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instantané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instantané sur 10 minutes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direction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vitesse du vent horizontal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vitesse du vent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formelle concernant la 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formelle concernant la direction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moyenne du vent entre 1 500 m et 3 000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moyenne du vent entre 1 500 m et 3 000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de la piste touchée par le cisaillement du vent (y compris ALL)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Flux de quantités de mouvement vertical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Flux de la poussée verticale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Énergie cinétique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Énergie de dissipation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d'enregistrement ou temps moyen pour établir le taux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vraie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sol de l'aéronef (composante u)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sol de l'aéronef (composante v)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sol de l'aéronef (composante w)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Version de l'algorithme du taux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Niveau de confiance minimum associé au fonctionnement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maximum d'entrées fausses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de la valeur de crête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valeurs justes du taux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relative à la composante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relative à la composante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relative à la composante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Suivi de la corrélation du vecteur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