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21: Données de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Réflectivité horizontale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Réflectivité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dépolarisation rectiligne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dépolarisation circulaire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dans la direction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dans la direction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dans la direction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(radiale)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en dehors de l'intervalle de NYQUIST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en haut de l'intervalle de NYQUIST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maximale des échos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des cellules de distance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cellules de distance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d'azimut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Phase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corrélation de polarisation croisée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Contenu en eau liquide, intégré verticalement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bande brillante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radiométrique (valeur de bruit)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des bruits parasites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Totalisateur de paquets manquants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 de l'altimètre sur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spectrale de l'image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Représentation des intensités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(ionosphère)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(constance d'étalonnage)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Étalonnage - cible chaude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Étalonnage - cible froide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Rétrodiffusion, conditions humides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0ième moment du spectre Doppler du signal RASS (Système de sondage radio-acoustique)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Maxima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d'ambiguïtés vectorielles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du vecteur vent retenu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de mesures de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(alpha)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(bêta)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(gamma)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Modèle géophysique de diffusomètre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de pluie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équivalente radar normalisée déterminée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valables par seconde utilisés pour dériver les paramètres précédents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Énergie spectrale totale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Énergie spectrale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Partie réelle des interspectres, en nombre de cellules de la grille polaire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Partie imaginaire des interspectres, en nombre de cellules de la grille polaire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 de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variation du front arrière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Recoupement de faisceaux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Pente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Sensibilité à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Unité des sigma-0,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Fraction terrestre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présence de glace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Maxima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