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23: Dispersion et transport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Notification rapide d'un accident - article applicable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Activité ou installation en cause dans l'incident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rejet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Contre-mesures prises près de la frontière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Cause de l'incident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Situation de l'incident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Caractéristiques du rejet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Nature du rejet observé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Nature du rejet prévu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Risque d'effets chimiques toxiques notables sur la santé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Débit de la principale masse d'eau réceptrice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du rejet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réelle du rejet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effective du rejet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point de rejet ou du site de l'incident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transport principal dans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transport principal dans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transport principal dans les eaux souterraines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transport principal dans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transport principal dans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transport principal dans les eaux souterraines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Possibilité que le panache rencontre des précipitations dans l'état où l'incident s'est produit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Possibilité que le panache soit affecté par un changement de direction et/ou de 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Débit - cours d'eau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Débit - puits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