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Table B — Class 24: Éléments radiologiques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024001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Estimation de la quantité de radioactivité rejetée jusqu'a une heure donnée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Bq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Bq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024002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Rejet potentiel maximal estimé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Bq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Bq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024003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Composition du rejet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024004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Nom de l'élément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Caractère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024005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Masse isotopique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024011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Dose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mSv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mSv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024012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Trajectoire et dose (position définie et heure d'arrivée prévue)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mSv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mSv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024013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Dose gamma dans l'air le long de la route du transport principal (en un lieu et pour une période précis)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mSv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mSv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024014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Débit de dose de rayonnement gamma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nSv/h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nSv/h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81: L’échelle des valeurs nominales de l’humidité du sol en surface est comprise entre 0 et 100 %. Dans des cas extrêmes, il est possible néanmoins que la valeur extrapolée à partir de la rétrodiffusion suivant un angle d’incidence de 40 degrés soit inférieure à la valeur minimale de référence de 0 % (conditions sèches) ou supérieure à la valeur maximale de référence de 100 % (conditions humides).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024021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Concentration dans l'air (du type d'isotope désigné, y compris la dose bêta brute)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Bq m-3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Bq m-3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024022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Concentration dans les précipitations (du type d'isotope désigné)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Bq/l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Bq/l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024023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Pulsation du rayonnement bêta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024024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Pulsation du rayonnement gamma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