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22"/>
        </w:rPr>
        <w:t>BUFR/CREX Table B — Class 31: Précisions concernant les opérations à effectuer au niveau de la description des données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</w:tblGrid>
      <w:tr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FXY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ElementName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BUFR Unit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Scale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Ref Value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Bits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CREX Unit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Scale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Chars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031000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Facteur de répétition légèrement différée du descripteur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031001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Facteur de répétition différée du descripteur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031002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Facteur élargi de répétition différée du descripteur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031011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Facteur de répétition différée du descripteur et des données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(voir Note 1)</w:t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031012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Facteur élargi de répétition différée du descripteur et des données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031021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Signification du champ associé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031031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Indicateur de présence de données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d'indicateurs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Note 59: D’autres appellations locales utilisées pour des orages de diverses intensités sont ajoutées selon les besoins.</w:t>
            </w:r>
          </w:p>
        </w:tc>
      </w:tr>
    </w:tbl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