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33: Informations sur la qualité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qualité (données des stations météorologiques automatiques)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sur la situation interne des mesures (stations météorologiques automatiques)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vérification de la qualité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du contrôle de la qualité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l'emplacement de la bouée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valeurs A CARS interpolées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globale de l'instantané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Contrôle de qualité manuel/automatique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Seuil de confiance nominal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corrélation des vents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pour les données d'observation au sol du GNSS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pour les données d'occultation radio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des données de l'ASAR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du phénomène qui suit (voir les notes 1 et 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Notes 1 et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conditionnelle du phénomène qui suit en fonction du phénomène associé indiqué (voir les notes 1, 2 et 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Notes 1, 2 et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des mesures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GqisQuallndex - indicateur de caractéristique de bruit de l'instrument (par étalonnage spectral et étalonnage radiométrique)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GqisQuallndexLoc - indicateur d'indice de qualité géométrique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GqisQuallndexRad - indicateur de caractéristique de bruit de l'instrument (par étalonnage radiométrique)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GqisQuallndexSpect - indicateur de caractéristique de bruit de l'instrument (par étalonnage 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GqisSysTecSondQuai - sortie de la fonction qualité du Centre d'expertise technique du système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l'ozone totale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du profil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Erreur relative à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Portée du satellite dans l'anomalie de l'Atlantique Sud (sur la base de données climatologiques)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 l'équivalent en bruit du différentiel de température pour un étalonnage sur cible chaude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 l'équivalent en bruit du différentiel de température pour un étalonnage sur cible froide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Indicateurs de qualité de l'équivalent en bruit du différentiel de température pour un étalonnage global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