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35: Informations sur le contrôle des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FM et numéro régional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Base de temps pour le contrôle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messages réellement reçus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Bulletin contrôlé (TTAAii)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Bulletin contrôlé (YYGGgg)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Bulletin contrôlé (CCCC)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Bulletin contrôlé (BBB)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Divergences dans la disponibilité des données attendues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Déterminant des résultats du contrôle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Cause des données manquantes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Défauts d'observation et de collecte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Tendances statistiques de la disponibilité des données (pendant la(les) période(s) d'observation)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Raison de l'abandon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