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 Table D — Category 22: Séquences relatives aux substances chimiques et aux aérosols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SubTitle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Description</w:t>
            </w:r>
          </w:p>
        </w:tc>
        <w:tc>
          <w:tcPr>
            <w:tcW w:type="dxa" w:w="2163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322028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Arial" w:hAnsi="Arial"/>
                <w:b/>
                <w:sz w:val="16"/>
              </w:rPr>
              <w:t>(METOP/GOME-2)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001007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Indicateur d'identification du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002019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Instruments satellitaires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Année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Mois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Jour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Heure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Minute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Seconde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006001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027001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Latitude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028001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Longitude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de la surface terrestre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014019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Albédo de la surface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007025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du soleil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010080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Distance zénithale de la visée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005023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Différence d'azimut entre le soleil et le satellite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Nébulosité (totale)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008003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Caractéristique verticale (observations par satellite)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014026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Albédo au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013093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Épaisseur optique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105000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031001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007004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008043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Type de constituants chimiques ou physiques de l'atmosphère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008044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Numéro d'enregistrement CAS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015021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  <w:t>Densité de masse intégrée</w:t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